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31A" w:rsidRPr="006B731A" w:rsidRDefault="006B731A" w:rsidP="006B731A">
      <w:pPr>
        <w:jc w:val="center"/>
        <w:rPr>
          <w:rFonts w:ascii="Times New Roman" w:hAnsi="Times New Roman"/>
          <w:b/>
          <w:caps/>
          <w:szCs w:val="28"/>
        </w:rPr>
      </w:pPr>
      <w:r w:rsidRPr="006B731A">
        <w:rPr>
          <w:rFonts w:ascii="Times New Roman" w:hAnsi="Times New Roman"/>
          <w:b/>
          <w:caps/>
          <w:szCs w:val="28"/>
        </w:rPr>
        <w:t>IL CONSIGLIO COMUNALE</w:t>
      </w:r>
    </w:p>
    <w:p w:rsidR="006B731A" w:rsidRPr="006B731A" w:rsidRDefault="006B731A" w:rsidP="006B731A">
      <w:pPr>
        <w:rPr>
          <w:rFonts w:ascii="Times New Roman" w:hAnsi="Times New Roman"/>
        </w:rPr>
      </w:pPr>
      <w:bookmarkStart w:id="0" w:name="_GoBack"/>
      <w:bookmarkEnd w:id="0"/>
    </w:p>
    <w:p w:rsidR="006B731A" w:rsidRPr="006B731A" w:rsidRDefault="006B731A" w:rsidP="006B731A">
      <w:pPr>
        <w:pStyle w:val="Normal965b23b7-d9f9-4ce8-93e3-a6b2ab6219a4"/>
        <w:jc w:val="both"/>
        <w:rPr>
          <w:sz w:val="20"/>
          <w:szCs w:val="20"/>
        </w:rPr>
      </w:pPr>
      <w:r w:rsidRPr="006B731A">
        <w:rPr>
          <w:b/>
          <w:sz w:val="20"/>
          <w:szCs w:val="20"/>
        </w:rPr>
        <w:t>Ricordato</w:t>
      </w:r>
      <w:r w:rsidRPr="006B731A">
        <w:rPr>
          <w:sz w:val="20"/>
          <w:szCs w:val="20"/>
        </w:rPr>
        <w:t xml:space="preserve"> che con deliberazione consiliare n° 38 del 09/04/2014 - che deve intendersi in questa sede integralmente richiamata – avente ad oggetto “</w:t>
      </w:r>
      <w:r w:rsidRPr="006B731A">
        <w:rPr>
          <w:i/>
          <w:iCs/>
          <w:sz w:val="20"/>
          <w:szCs w:val="20"/>
        </w:rPr>
        <w:t>Variante urbanistica al Piano degli Interventi (ex PRGC) per adeguamento dello strumento urbanistico alla modifica dell'accordo tra ATER e Comune del 06.10.2005 in via Bennati.</w:t>
      </w:r>
      <w:r w:rsidRPr="006B731A">
        <w:rPr>
          <w:sz w:val="20"/>
          <w:szCs w:val="20"/>
        </w:rPr>
        <w:t>”, è stata approvata una bozza di accordo tra Ater e Comune di Spinea ed è stata adottata la variante urbanistica al Piano degli Interventi per ridefinire la destinazione urbanistica delle aree originariamente oggetto dell’accordo, oltreché prevedere l’adeguamento della destinazione urbanistica delle aree sulle quali viene prevista la nuova ridistribuzione dell’edilizia destinata a residenza convenzionata/sovvenzionata;</w:t>
      </w:r>
    </w:p>
    <w:p w:rsidR="006B731A" w:rsidRPr="006B731A" w:rsidRDefault="006B731A" w:rsidP="006B731A">
      <w:pPr>
        <w:rPr>
          <w:rFonts w:ascii="Times New Roman" w:hAnsi="Times New Roman"/>
          <w:sz w:val="20"/>
          <w:szCs w:val="20"/>
        </w:rPr>
      </w:pPr>
      <w:r w:rsidRPr="006B731A">
        <w:rPr>
          <w:rFonts w:ascii="Times New Roman" w:hAnsi="Times New Roman"/>
          <w:b/>
          <w:sz w:val="20"/>
          <w:szCs w:val="20"/>
        </w:rPr>
        <w:t>Rilevato</w:t>
      </w:r>
      <w:r w:rsidRPr="006B731A">
        <w:rPr>
          <w:rFonts w:ascii="Times New Roman" w:hAnsi="Times New Roman"/>
          <w:sz w:val="20"/>
          <w:szCs w:val="20"/>
        </w:rPr>
        <w:t xml:space="preserve"> che, in relazione ai </w:t>
      </w:r>
      <w:r w:rsidRPr="006B731A">
        <w:rPr>
          <w:rFonts w:ascii="Times New Roman" w:hAnsi="Times New Roman"/>
          <w:b/>
          <w:sz w:val="20"/>
          <w:szCs w:val="20"/>
        </w:rPr>
        <w:t>contenuti della predetta bozza di accordo</w:t>
      </w:r>
      <w:r w:rsidRPr="006B731A">
        <w:rPr>
          <w:rFonts w:ascii="Times New Roman" w:hAnsi="Times New Roman"/>
          <w:sz w:val="20"/>
          <w:szCs w:val="20"/>
        </w:rPr>
        <w:t>:</w:t>
      </w:r>
    </w:p>
    <w:p w:rsidR="006B731A" w:rsidRPr="006B731A" w:rsidRDefault="006B731A" w:rsidP="006B731A">
      <w:pPr>
        <w:pStyle w:val="Corpotesto1"/>
        <w:numPr>
          <w:ilvl w:val="0"/>
          <w:numId w:val="3"/>
        </w:numPr>
        <w:ind w:left="284" w:right="-2" w:hanging="284"/>
      </w:pPr>
      <w:r w:rsidRPr="006B731A">
        <w:t>con nota n.</w:t>
      </w:r>
      <w:r w:rsidRPr="006B731A">
        <w:rPr>
          <w:b/>
        </w:rPr>
        <w:t xml:space="preserve"> </w:t>
      </w:r>
      <w:r w:rsidRPr="006B731A">
        <w:t xml:space="preserve">15081 del 13/06/2014, prot. </w:t>
      </w:r>
      <w:proofErr w:type="spellStart"/>
      <w:r w:rsidRPr="006B731A">
        <w:t>C.le</w:t>
      </w:r>
      <w:proofErr w:type="spellEnd"/>
      <w:r w:rsidRPr="006B731A">
        <w:t xml:space="preserve"> n. 17963 del 16/06/2014, l’Ater di Venezia evidenziava che il testo di accordo approvato dal proprio consiglio di amministrazione non corrispondeva con quanto approvato dal consiglio comunale di Spinea (</w:t>
      </w:r>
      <w:proofErr w:type="spellStart"/>
      <w:r w:rsidRPr="006B731A">
        <w:t>d.C.c</w:t>
      </w:r>
      <w:proofErr w:type="spellEnd"/>
      <w:r w:rsidRPr="006B731A">
        <w:t>. n° 38 del 09/04/2014);</w:t>
      </w:r>
    </w:p>
    <w:p w:rsidR="006B731A" w:rsidRPr="006B731A" w:rsidRDefault="006B731A" w:rsidP="006B731A">
      <w:pPr>
        <w:pStyle w:val="Corpotesto1"/>
        <w:numPr>
          <w:ilvl w:val="0"/>
          <w:numId w:val="3"/>
        </w:numPr>
        <w:ind w:left="284" w:right="-2" w:hanging="284"/>
      </w:pPr>
      <w:r w:rsidRPr="006B731A">
        <w:t xml:space="preserve">con successiva nota n. 21304 del 04/08/2014, prot. </w:t>
      </w:r>
      <w:proofErr w:type="spellStart"/>
      <w:r w:rsidRPr="006B731A">
        <w:t>C.le</w:t>
      </w:r>
      <w:proofErr w:type="spellEnd"/>
      <w:r w:rsidRPr="006B731A">
        <w:t xml:space="preserve"> n. 23286 del 04/08/2014, l’Ater di Venezia conferma la necessità che il comune di Spinea adegui il proprio provvedimento a quanto approvato dal </w:t>
      </w:r>
      <w:proofErr w:type="spellStart"/>
      <w:r w:rsidRPr="006B731A">
        <w:t>c.d.a.</w:t>
      </w:r>
      <w:proofErr w:type="spellEnd"/>
      <w:r w:rsidRPr="006B731A">
        <w:t xml:space="preserve"> dell’Ater e che, qualora ciò non avvenga, non si sarebbero realizzati i necessari presupposti per la definizione dell’accordo stesso;</w:t>
      </w:r>
    </w:p>
    <w:p w:rsidR="006B731A" w:rsidRPr="006B731A" w:rsidRDefault="006B731A" w:rsidP="006B731A">
      <w:pPr>
        <w:pStyle w:val="Corpotesto1"/>
        <w:numPr>
          <w:ilvl w:val="0"/>
          <w:numId w:val="3"/>
        </w:numPr>
        <w:ind w:left="284" w:right="-2" w:hanging="284"/>
      </w:pPr>
      <w:r w:rsidRPr="006B731A">
        <w:t xml:space="preserve">con nota  n. 374266 del 08/09/2014, prot. </w:t>
      </w:r>
      <w:proofErr w:type="spellStart"/>
      <w:r w:rsidRPr="006B731A">
        <w:t>C.le</w:t>
      </w:r>
      <w:proofErr w:type="spellEnd"/>
      <w:r w:rsidRPr="006B731A">
        <w:t xml:space="preserve"> n. 26406 del 08/09/2014, la Regione del Veneto (Dipartimento Lavori Pubblici, Sicurezza Urbana, Polizia Locale e R.A.S.A. - Sezione Edilizia Abitativa), trasmetteva ad ATER e per conoscenza alla scrivente amministrazione comunale  la comunicazione di avvio di procedimento di revoca dal beneficio di finanziamento assegnato con DGRV n. 2385 del 16/102/2013 per la realizzazione di n. 23 alloggi in via Bennati;</w:t>
      </w:r>
    </w:p>
    <w:p w:rsidR="006B731A" w:rsidRPr="006B731A" w:rsidRDefault="006B731A" w:rsidP="006B731A">
      <w:pPr>
        <w:pStyle w:val="Corpotesto1"/>
        <w:numPr>
          <w:ilvl w:val="0"/>
          <w:numId w:val="3"/>
        </w:numPr>
        <w:ind w:left="284" w:right="-2" w:hanging="284"/>
      </w:pPr>
      <w:r w:rsidRPr="006B731A">
        <w:t xml:space="preserve">le più rilevanti diversità tra la proposta di Ater e quella del comune di Spinea consistono nei seguenti punti: </w:t>
      </w:r>
    </w:p>
    <w:p w:rsidR="006B731A" w:rsidRPr="006B731A" w:rsidRDefault="006B731A" w:rsidP="006B731A">
      <w:pPr>
        <w:pStyle w:val="Corpotesto1"/>
        <w:numPr>
          <w:ilvl w:val="0"/>
          <w:numId w:val="4"/>
        </w:numPr>
        <w:ind w:right="-2"/>
      </w:pPr>
      <w:r w:rsidRPr="006B731A">
        <w:t xml:space="preserve">Ater propone di destinare l’edilizia residenziale da realizzare in area del Villaggio dei Fiori a edilizia sovvenzionata/convenzionata/libero mercato, mentre il comune di Spinea prevedeva di destinare tale intervento a edilizia sovvenzionata/convenzionata (si vedano gli articoli  3 e 8 dell’accordo allegato); </w:t>
      </w:r>
    </w:p>
    <w:p w:rsidR="006B731A" w:rsidRPr="006B731A" w:rsidRDefault="006B731A" w:rsidP="006B731A">
      <w:pPr>
        <w:pStyle w:val="Corpotesto1"/>
        <w:numPr>
          <w:ilvl w:val="0"/>
          <w:numId w:val="4"/>
        </w:numPr>
        <w:ind w:right="-2"/>
      </w:pPr>
      <w:r w:rsidRPr="006B731A">
        <w:t>Ater propone di valutare la possibilità (facoltativa) di realizzare, nel nuovo lotto, un edificio della consistenza di circa 150 mq per favorire l’aggregazione di persone appartenenti alla terza età, mentre il comune di Spinea prevedeva la realizzazione (obbligatoria) di tale fabbricato, a carico di Ater, con una superficie di circa 150/200 mq (si vedano gli articoli  3 e 8 dell’accordo allegato);</w:t>
      </w:r>
    </w:p>
    <w:p w:rsidR="006B731A" w:rsidRPr="006B731A" w:rsidRDefault="006B731A" w:rsidP="006B731A">
      <w:pPr>
        <w:pStyle w:val="Corpotesto1"/>
        <w:numPr>
          <w:ilvl w:val="0"/>
          <w:numId w:val="5"/>
        </w:numPr>
        <w:ind w:left="284" w:right="-2" w:hanging="284"/>
      </w:pPr>
      <w:r w:rsidRPr="006B731A">
        <w:t>dopo vari incontri tra Ater e il comune di Spinea, si arrivava a concordare sui contenuti del testo allegato al presente provvedimento, il quale prevede che l’intervento residenziale in area del Villaggio dei Fiori abbia le caratteristiche dell’edilizia sovvenzionata/convenzionata e prevede altresì che Ater abbia la facoltà di valutare la realizzazione o meno dell’edificio autonomo di 150/200 mq;</w:t>
      </w:r>
    </w:p>
    <w:p w:rsidR="006B731A" w:rsidRPr="006B731A" w:rsidRDefault="006B731A" w:rsidP="006B731A">
      <w:pPr>
        <w:pStyle w:val="Corpotesto1"/>
        <w:numPr>
          <w:ilvl w:val="0"/>
          <w:numId w:val="5"/>
        </w:numPr>
        <w:ind w:left="284" w:right="-2" w:hanging="284"/>
      </w:pPr>
      <w:r w:rsidRPr="006B731A">
        <w:t>con nota prot. 27222 del 15/09/2014, il Sindaco del Comune di Spinea trasmetteva ad Ater la nuova proposta di accordo di programma (oggetto della presente deliberazione) che sarà sottoposta all’approvazione da parte del Consiglio comunale;</w:t>
      </w:r>
    </w:p>
    <w:p w:rsidR="006B731A" w:rsidRPr="006B731A" w:rsidRDefault="006B731A" w:rsidP="006B731A">
      <w:pPr>
        <w:pStyle w:val="Corpotesto1"/>
        <w:numPr>
          <w:ilvl w:val="0"/>
          <w:numId w:val="5"/>
        </w:numPr>
        <w:ind w:left="284" w:right="-2" w:hanging="284"/>
      </w:pPr>
      <w:r w:rsidRPr="006B731A">
        <w:t>con nota n.</w:t>
      </w:r>
      <w:r w:rsidRPr="006B731A">
        <w:rPr>
          <w:b/>
        </w:rPr>
        <w:t xml:space="preserve"> </w:t>
      </w:r>
      <w:r w:rsidRPr="006B731A">
        <w:t xml:space="preserve">27275 del 17/09/2014, prot. </w:t>
      </w:r>
      <w:proofErr w:type="spellStart"/>
      <w:r w:rsidRPr="006B731A">
        <w:t>C.le</w:t>
      </w:r>
      <w:proofErr w:type="spellEnd"/>
      <w:r w:rsidRPr="006B731A">
        <w:t xml:space="preserve"> n. 27678 del 18/09/2014, indirizzata alla Regione del Veneto (Dipartimento Lavori Pubblici, Sicurezza Urbana, Polizia Locale e R.A.S.A. - Sezione Edilizia Abitativa) e per conoscenza al Comune di Spinea, l’Ater chiedeva la sospensione del procedimento di revoca del finanziamento a seguito di un incontro con il Sindaco di Spinea in cui è stata stabilita la rielaborazione della modifica dell’accordo di programma per addivenire ad una completa sintonia con il programma di intervento oggetto del finanziamento;</w:t>
      </w:r>
    </w:p>
    <w:p w:rsidR="006B731A" w:rsidRPr="006B731A" w:rsidRDefault="006B731A" w:rsidP="006B731A">
      <w:pPr>
        <w:pStyle w:val="Corpotesto1"/>
        <w:numPr>
          <w:ilvl w:val="0"/>
          <w:numId w:val="5"/>
        </w:numPr>
        <w:ind w:left="284" w:right="-2" w:hanging="284"/>
      </w:pPr>
      <w:r w:rsidRPr="006B731A">
        <w:t>con riferimento alle proposte di modifica introdotte da Ater, va rilevato quanto segue:</w:t>
      </w:r>
    </w:p>
    <w:p w:rsidR="006B731A" w:rsidRPr="006B731A" w:rsidRDefault="006B731A" w:rsidP="006B731A">
      <w:pPr>
        <w:pStyle w:val="Corpotesto1"/>
        <w:numPr>
          <w:ilvl w:val="0"/>
          <w:numId w:val="6"/>
        </w:numPr>
        <w:ind w:right="-2"/>
      </w:pPr>
      <w:r w:rsidRPr="006B731A">
        <w:t>sussiste in ogni caso l’interesse dell’amministrazione comunale ad approvare la proposta di accordo rinegoziata con Ater, in quanto consente di definire una questione assai complessa, e di dare comunque attuazione  – sia pur in maniera parzialmente differente –  al contenuto sostanziale dell’accordo originario del 2005;</w:t>
      </w:r>
    </w:p>
    <w:p w:rsidR="006B731A" w:rsidRPr="006B731A" w:rsidRDefault="006B731A" w:rsidP="006B731A">
      <w:pPr>
        <w:pStyle w:val="Corpotesto1"/>
        <w:numPr>
          <w:ilvl w:val="0"/>
          <w:numId w:val="6"/>
        </w:numPr>
        <w:ind w:right="-2"/>
      </w:pPr>
      <w:r w:rsidRPr="006B731A">
        <w:t>deve, invero, considerarsi che, in mancanza di un accordo definitivo tra la sottoscritta Amministrazione comunale ed Ater, si perverrebbe alla rottura di ogni trattativa e quale unica soluzione percorribile si profilerebbe quella giudiziaria;</w:t>
      </w:r>
    </w:p>
    <w:p w:rsidR="006B731A" w:rsidRPr="006B731A" w:rsidRDefault="006B731A" w:rsidP="006B731A">
      <w:pPr>
        <w:pStyle w:val="Corpotesto1"/>
        <w:numPr>
          <w:ilvl w:val="0"/>
          <w:numId w:val="6"/>
        </w:numPr>
        <w:ind w:right="-2"/>
      </w:pPr>
      <w:r w:rsidRPr="006B731A">
        <w:t>in tale ipotesi, ossia dopo la chiusura di ogni negoziato, il Comune di Spinea dovrebbe necessariamente agire in giudizio contro Ater, per chiedere al Giudice competente di condannare Ater al rispetto delle obbligazioni derivanti dall’accordo dell’ottobre 2005 e, dunque, ad acquisire le aree ivi identificate al prezzo ivi stabilito;</w:t>
      </w:r>
    </w:p>
    <w:p w:rsidR="006B731A" w:rsidRPr="006B731A" w:rsidRDefault="006B731A" w:rsidP="006B731A">
      <w:pPr>
        <w:pStyle w:val="Corpotesto1"/>
        <w:numPr>
          <w:ilvl w:val="0"/>
          <w:numId w:val="6"/>
        </w:numPr>
        <w:ind w:right="-2"/>
      </w:pPr>
      <w:r w:rsidRPr="006B731A">
        <w:t xml:space="preserve">si tratterebbe, tuttavia, di un contenzioso lungo e </w:t>
      </w:r>
      <w:proofErr w:type="spellStart"/>
      <w:r w:rsidRPr="006B731A">
        <w:t>quantomai</w:t>
      </w:r>
      <w:proofErr w:type="spellEnd"/>
      <w:r w:rsidRPr="006B731A">
        <w:t xml:space="preserve"> oneroso, in considerazione del valore economico notevolissimo che caratterizza il predetto accordo dell’ottobre 2005;</w:t>
      </w:r>
    </w:p>
    <w:p w:rsidR="006B731A" w:rsidRPr="006B731A" w:rsidRDefault="006B731A" w:rsidP="006B731A">
      <w:pPr>
        <w:pStyle w:val="Corpotesto1"/>
        <w:numPr>
          <w:ilvl w:val="0"/>
          <w:numId w:val="6"/>
        </w:numPr>
        <w:ind w:right="-2"/>
      </w:pPr>
      <w:r w:rsidRPr="006B731A">
        <w:t>peraltro, a fronte dei costi elevati e dei tempi lunghi di un siffatto giudizio, non vi potrebbero essere garanzie certe in ordine all’esito favorevole per la posizione comunale, stante l’alea che caratterizza di per sé qualsivoglia contenzioso giudiziario;</w:t>
      </w:r>
    </w:p>
    <w:p w:rsidR="006B731A" w:rsidRPr="006B731A" w:rsidRDefault="006B731A" w:rsidP="006B731A">
      <w:pPr>
        <w:pStyle w:val="Corpotesto1"/>
        <w:numPr>
          <w:ilvl w:val="0"/>
          <w:numId w:val="6"/>
        </w:numPr>
        <w:ind w:right="-2"/>
      </w:pPr>
      <w:r w:rsidRPr="006B731A">
        <w:t xml:space="preserve">nel caso di specie, inoltre, va considerato che i valori economici immobiliari concordati fra il comune e l’Ater nell’accordo di programma del 2005 rispecchiavano una realtà del mercato antecedente alla grave crisi </w:t>
      </w:r>
      <w:r w:rsidRPr="006B731A">
        <w:lastRenderedPageBreak/>
        <w:t>economica che oramai attanaglia il nostro Paese e l’intera Europa da oltre un quinquennio ed è facile prevedere che, in un ipotetico contenzioso, la difesa di Ater proverebbe a sostenere una sorta di eccessiva onerosità sopravvenuta per chiedere la risoluzione dell’originario accordo di programma, a fronte di una sopravvenuta alterazione dell’equilibrio contrattuale dovuta a circostanze straordinarie ed imprevedibili (la crisi economica, per l’appunto);</w:t>
      </w:r>
    </w:p>
    <w:p w:rsidR="006B731A" w:rsidRPr="006B731A" w:rsidRDefault="006B731A" w:rsidP="006B731A">
      <w:pPr>
        <w:pStyle w:val="Corpotesto1"/>
        <w:numPr>
          <w:ilvl w:val="0"/>
          <w:numId w:val="6"/>
        </w:numPr>
        <w:ind w:right="-2"/>
      </w:pPr>
      <w:r w:rsidRPr="006B731A">
        <w:t xml:space="preserve">invero, la giurisprudenza ha avuto modo di sostenere – in astratto – che “L’istituto della risoluzione del contratto per </w:t>
      </w:r>
      <w:r w:rsidRPr="006B731A">
        <w:rPr>
          <w:bCs/>
          <w:iCs/>
        </w:rPr>
        <w:t>eccessiva</w:t>
      </w:r>
      <w:r w:rsidRPr="006B731A">
        <w:t xml:space="preserve"> </w:t>
      </w:r>
      <w:r w:rsidRPr="006B731A">
        <w:rPr>
          <w:bCs/>
          <w:iCs/>
        </w:rPr>
        <w:t>onerosità</w:t>
      </w:r>
      <w:r w:rsidRPr="006B731A">
        <w:t xml:space="preserve"> sopravvenuta, ex </w:t>
      </w:r>
      <w:hyperlink r:id="rId6" w:history="1">
        <w:r w:rsidRPr="006B731A">
          <w:t>art. 1467 c.c.</w:t>
        </w:r>
      </w:hyperlink>
      <w:r w:rsidRPr="006B731A">
        <w:t xml:space="preserve">, può essere legittimamente invocato anche con riferimento al </w:t>
      </w:r>
      <w:r w:rsidRPr="006B731A">
        <w:rPr>
          <w:bCs/>
          <w:iCs/>
        </w:rPr>
        <w:t>preliminare</w:t>
      </w:r>
      <w:r w:rsidRPr="006B731A">
        <w:t xml:space="preserve"> di vendita immobiliare, in quanto la dedotta </w:t>
      </w:r>
      <w:r w:rsidRPr="006B731A">
        <w:rPr>
          <w:bCs/>
          <w:iCs/>
        </w:rPr>
        <w:t>onerosità</w:t>
      </w:r>
      <w:r w:rsidRPr="006B731A">
        <w:t xml:space="preserve"> deve essere commisurata non già al valore della prestazione, bensì al disvalore delle conseguenze patrimoniale che essa comporta” (così la decisione </w:t>
      </w:r>
      <w:proofErr w:type="spellStart"/>
      <w:r w:rsidRPr="006B731A">
        <w:t>Trib</w:t>
      </w:r>
      <w:proofErr w:type="spellEnd"/>
      <w:r w:rsidRPr="006B731A">
        <w:t xml:space="preserve">. Bologna Sez. II, 13/10/2010, ma negli stessi termini anche la sentenza </w:t>
      </w:r>
      <w:proofErr w:type="spellStart"/>
      <w:r w:rsidRPr="006B731A">
        <w:t>Cass</w:t>
      </w:r>
      <w:proofErr w:type="spellEnd"/>
      <w:r w:rsidRPr="006B731A">
        <w:t xml:space="preserve">. civ., Sez. II, 04/03/2004, n. 4423 e la precedente pronuncia </w:t>
      </w:r>
      <w:proofErr w:type="spellStart"/>
      <w:r w:rsidRPr="006B731A">
        <w:t>Cass</w:t>
      </w:r>
      <w:proofErr w:type="spellEnd"/>
      <w:r w:rsidRPr="006B731A">
        <w:t>. civ., Sez. II, 23/02/2001, n. 2661)</w:t>
      </w:r>
    </w:p>
    <w:p w:rsidR="006B731A" w:rsidRPr="006B731A" w:rsidRDefault="006B731A" w:rsidP="006B731A">
      <w:pPr>
        <w:pStyle w:val="Corpotesto1"/>
        <w:numPr>
          <w:ilvl w:val="0"/>
          <w:numId w:val="6"/>
        </w:numPr>
        <w:ind w:right="-2"/>
      </w:pPr>
      <w:r w:rsidRPr="006B731A">
        <w:t xml:space="preserve">d’altro canto, l’accordo di programma del 2005 ben può configurarsi come una sorta di preliminare di compravendita immobiliare, nella parte in cui Ater si era obbligata ad acquisire dal Comune determinate aree ad un determinato prezzo, e tale natura giuridica di quell’accordo lo renderebbe </w:t>
      </w:r>
      <w:r w:rsidRPr="006B731A">
        <w:rPr>
          <w:i/>
        </w:rPr>
        <w:t>tout court</w:t>
      </w:r>
      <w:r w:rsidRPr="006B731A">
        <w:t xml:space="preserve"> assoggettabile – quantomeno a livello teorico – all’istituto della risoluzione del contratto per </w:t>
      </w:r>
      <w:r w:rsidRPr="006B731A">
        <w:rPr>
          <w:bCs/>
          <w:iCs/>
        </w:rPr>
        <w:t>eccessiva</w:t>
      </w:r>
      <w:r w:rsidRPr="006B731A">
        <w:t xml:space="preserve"> </w:t>
      </w:r>
      <w:r w:rsidRPr="006B731A">
        <w:rPr>
          <w:bCs/>
          <w:iCs/>
        </w:rPr>
        <w:t>onerosità</w:t>
      </w:r>
      <w:r w:rsidRPr="006B731A">
        <w:t xml:space="preserve"> sopravvenuta;</w:t>
      </w:r>
    </w:p>
    <w:p w:rsidR="006B731A" w:rsidRPr="006B731A" w:rsidRDefault="006B731A" w:rsidP="006B731A">
      <w:pPr>
        <w:pStyle w:val="Corpotesto1"/>
        <w:numPr>
          <w:ilvl w:val="0"/>
          <w:numId w:val="6"/>
        </w:numPr>
        <w:ind w:right="-2"/>
      </w:pPr>
      <w:r w:rsidRPr="006B731A">
        <w:t>poi, naturalmente, la sottoscritta Amministrazione ben potrebbe porre in discussione che la crisi economica degli ultimi anni rappresenti un fatto assolutamente straordinario ed imprevedibile tale da dar luogo ad un’eccessiva onerosità sopravvenuta giuridicamente rilevante, ma la sussistenza di simili presupposti risulta esclusivamente “</w:t>
      </w:r>
      <w:r w:rsidRPr="006B731A">
        <w:rPr>
          <w:i/>
        </w:rPr>
        <w:t>riservata all'apprezzamento discrezionale del giudice di merito</w:t>
      </w:r>
      <w:r w:rsidRPr="006B731A">
        <w:t xml:space="preserve">” (come la Suprema Corte ha avuto modo di sentenziare: cfr. la succitata decisione </w:t>
      </w:r>
      <w:proofErr w:type="spellStart"/>
      <w:r w:rsidRPr="006B731A">
        <w:t>Cass</w:t>
      </w:r>
      <w:proofErr w:type="spellEnd"/>
      <w:r w:rsidRPr="006B731A">
        <w:t xml:space="preserve">. civ., Sez. II, 04/03/2004, n. 4423), il che rende </w:t>
      </w:r>
      <w:proofErr w:type="spellStart"/>
      <w:r w:rsidRPr="006B731A">
        <w:t>quantomai</w:t>
      </w:r>
      <w:proofErr w:type="spellEnd"/>
      <w:r w:rsidRPr="006B731A">
        <w:t xml:space="preserve"> aleatoria ogni previsione sul possibile esito di un ipotetico giudizio;</w:t>
      </w:r>
    </w:p>
    <w:p w:rsidR="006B731A" w:rsidRPr="006B731A" w:rsidRDefault="006B731A" w:rsidP="006B731A">
      <w:pPr>
        <w:pStyle w:val="Corpotesto1"/>
        <w:numPr>
          <w:ilvl w:val="0"/>
          <w:numId w:val="6"/>
        </w:numPr>
        <w:ind w:right="-2"/>
      </w:pPr>
      <w:r w:rsidRPr="006B731A">
        <w:t>peraltro, nelle more di un siffatto contenzioso, è evidente che Ater non potrebbe dar seguito in alcun modo alla realizzazione degli alloggi previsti nell’accordo di programma del 2005, e ciò andrebbe ulteriormente a discapito dell’interesse pubblico finalizzato a tutelare  – fra l’altro –  anche le situazioni di emergenza abitativa e le fasce più deboli della popolazione, destinatarie naturali di quella determinata tipologia di alloggi;</w:t>
      </w:r>
    </w:p>
    <w:p w:rsidR="006B731A" w:rsidRPr="006B731A" w:rsidRDefault="006B731A" w:rsidP="006B731A">
      <w:pPr>
        <w:pStyle w:val="Corpotesto1"/>
        <w:numPr>
          <w:ilvl w:val="0"/>
          <w:numId w:val="6"/>
        </w:numPr>
        <w:ind w:right="-2"/>
      </w:pPr>
      <w:r w:rsidRPr="006B731A">
        <w:t xml:space="preserve">d’altro canto, nell’ottica di giungere ad un nuovo accordo e di prevenire, così, l’insorgere del contenzioso sopra accennato, è naturale che le parti rinuncino a qualcuna delle loro pretese, considerato che il concetto stesso di transazione si riferisce all’ipotesi in cui le parti, facendosi reciproche concessioni, pongono fine ad una lite già incominciata o prevengono una lite che potrebbe insorgere tra di loro </w:t>
      </w:r>
      <w:r w:rsidRPr="006B731A">
        <w:rPr>
          <w:sz w:val="18"/>
        </w:rPr>
        <w:t>(cfr. art. 1965 c.c.)</w:t>
      </w:r>
      <w:r w:rsidRPr="006B731A">
        <w:t>;</w:t>
      </w:r>
    </w:p>
    <w:p w:rsidR="006B731A" w:rsidRPr="006B731A" w:rsidRDefault="006B731A" w:rsidP="006B731A">
      <w:pPr>
        <w:pStyle w:val="Corpotesto1"/>
        <w:numPr>
          <w:ilvl w:val="0"/>
          <w:numId w:val="5"/>
        </w:numPr>
        <w:ind w:left="284" w:right="-2" w:hanging="284"/>
      </w:pPr>
      <w:r w:rsidRPr="006B731A">
        <w:t xml:space="preserve">si deve, quindi, concludere che l’accordo da ultimo rinegoziato dalla sottoscritta Amministrazione con Ater (ed allegato al testo della presente delibera), pur non interamente satisfattivo, rappresenta tuttavia  – allo stato –  la miglior soluzione ad una problematica tanto annosa e tanto complessa, in quanto mira a salvaguardare tutta una serie di interessi pubblici alla cui tutela questo Comune, come qualsiasi ente pubblico, non può sottrarsi, e ciò, in primis, in termini di perseguimento del miglior risultato utile con il minor dispendio di tempo e di risorse (si vedano, in proposito, i principi di economicità ed efficacia dell’azione amministrativa, codificati nell’art. 1 della L. n. 241/1990, nella sua attuale formulazione); </w:t>
      </w:r>
    </w:p>
    <w:p w:rsidR="006B731A" w:rsidRPr="006B731A" w:rsidRDefault="006B731A" w:rsidP="006B731A">
      <w:pPr>
        <w:pStyle w:val="Corpotesto1"/>
        <w:ind w:left="284" w:right="-2"/>
      </w:pPr>
      <w:r w:rsidRPr="006B731A">
        <w:t xml:space="preserve"> </w:t>
      </w:r>
    </w:p>
    <w:p w:rsidR="006B731A" w:rsidRPr="006B731A" w:rsidRDefault="006B731A" w:rsidP="006B731A">
      <w:pPr>
        <w:pStyle w:val="Corpotesto1"/>
        <w:ind w:right="-2"/>
      </w:pPr>
      <w:r w:rsidRPr="006B731A">
        <w:rPr>
          <w:b/>
        </w:rPr>
        <w:t xml:space="preserve">Ricordato </w:t>
      </w:r>
      <w:r w:rsidRPr="006B731A">
        <w:t xml:space="preserve">che i contenuti del presente provvedimento sono stati illustrati nella Seconda Commissione Consiliare nella seduta del 01/10/2014; </w:t>
      </w:r>
    </w:p>
    <w:p w:rsidR="006B731A" w:rsidRPr="006B731A" w:rsidRDefault="006B731A" w:rsidP="006B731A">
      <w:pPr>
        <w:jc w:val="both"/>
        <w:rPr>
          <w:rFonts w:ascii="Times New Roman" w:hAnsi="Times New Roman"/>
          <w:sz w:val="20"/>
          <w:szCs w:val="20"/>
        </w:rPr>
      </w:pPr>
      <w:r w:rsidRPr="006B731A">
        <w:rPr>
          <w:rFonts w:ascii="Times New Roman" w:hAnsi="Times New Roman"/>
          <w:b/>
          <w:sz w:val="20"/>
          <w:szCs w:val="20"/>
        </w:rPr>
        <w:t>Rilevato</w:t>
      </w:r>
      <w:r w:rsidRPr="006B731A">
        <w:rPr>
          <w:rFonts w:ascii="Times New Roman" w:hAnsi="Times New Roman"/>
          <w:sz w:val="20"/>
          <w:szCs w:val="20"/>
        </w:rPr>
        <w:t xml:space="preserve"> che le modifiche apportate all’accordo di pianificazione non comportano alcuna modifica ai contenuti della variante urbanistica già adottata e che pertanto, contestualmente all’approvazione delle modifiche dell’accordo di cui sopra, si procede con l’approvazione della variante stessa;</w:t>
      </w:r>
    </w:p>
    <w:p w:rsidR="006B731A" w:rsidRPr="006B731A" w:rsidRDefault="006B731A" w:rsidP="006B731A">
      <w:pPr>
        <w:pStyle w:val="Stile1"/>
        <w:tabs>
          <w:tab w:val="left" w:pos="708"/>
        </w:tabs>
        <w:spacing w:before="0" w:beforeAutospacing="0" w:after="0" w:afterAutospacing="0"/>
        <w:jc w:val="both"/>
        <w:rPr>
          <w:sz w:val="20"/>
          <w:szCs w:val="20"/>
        </w:rPr>
      </w:pPr>
      <w:r w:rsidRPr="006B731A">
        <w:rPr>
          <w:b/>
          <w:sz w:val="20"/>
          <w:szCs w:val="20"/>
        </w:rPr>
        <w:t>Rilevato</w:t>
      </w:r>
      <w:r w:rsidRPr="006B731A">
        <w:rPr>
          <w:sz w:val="20"/>
          <w:szCs w:val="20"/>
        </w:rPr>
        <w:t xml:space="preserve"> che, ai fini della trasparenza dell'attività di pianificazione e governo del territorio, gli atti di cui alla variante in oggetto sono stati pubblicati ai sensi dell’art. 39 del D.Lgs. 14 marzo 2013 n. 33;</w:t>
      </w:r>
    </w:p>
    <w:p w:rsidR="006B731A" w:rsidRPr="006B731A" w:rsidRDefault="006B731A" w:rsidP="006B731A">
      <w:pPr>
        <w:pStyle w:val="Stile1"/>
        <w:tabs>
          <w:tab w:val="left" w:pos="708"/>
        </w:tabs>
        <w:spacing w:before="0" w:beforeAutospacing="0" w:after="0" w:afterAutospacing="0"/>
        <w:jc w:val="both"/>
        <w:rPr>
          <w:sz w:val="20"/>
          <w:szCs w:val="20"/>
        </w:rPr>
      </w:pPr>
      <w:r w:rsidRPr="006B731A">
        <w:rPr>
          <w:b/>
          <w:sz w:val="20"/>
          <w:szCs w:val="20"/>
        </w:rPr>
        <w:t>Dato atto</w:t>
      </w:r>
      <w:r w:rsidRPr="006B731A">
        <w:rPr>
          <w:sz w:val="20"/>
          <w:szCs w:val="20"/>
        </w:rPr>
        <w:t xml:space="preserve"> che la variante al piano è stata depositata a disposizione del pubblico per 30 (trenta) giorni consecutivi presso la sede del comune dal 24/05/2014, decorsi i quali chiunque ha potuto formulare osservazioni entro i successivi 30 (trenta) giorni, ovvero fino al 22/07/2014.</w:t>
      </w:r>
    </w:p>
    <w:p w:rsidR="006B731A" w:rsidRPr="006B731A" w:rsidRDefault="006B731A" w:rsidP="006B731A">
      <w:pPr>
        <w:pStyle w:val="Stile1"/>
        <w:tabs>
          <w:tab w:val="left" w:pos="708"/>
        </w:tabs>
        <w:spacing w:before="0" w:beforeAutospacing="0" w:after="0" w:afterAutospacing="0"/>
        <w:jc w:val="both"/>
        <w:rPr>
          <w:sz w:val="20"/>
          <w:szCs w:val="20"/>
        </w:rPr>
      </w:pPr>
      <w:r w:rsidRPr="006B731A">
        <w:rPr>
          <w:b/>
          <w:sz w:val="20"/>
          <w:szCs w:val="20"/>
        </w:rPr>
        <w:t>Dato altresì atto</w:t>
      </w:r>
      <w:r w:rsidRPr="006B731A">
        <w:rPr>
          <w:sz w:val="20"/>
          <w:szCs w:val="20"/>
        </w:rPr>
        <w:t xml:space="preserve"> che dell'avvenuto deposito è stata data notizia mediante avviso pubblicato nell'albo pretorio del comune, su due quotidiani a diffusione locale, mediante manifesti pubblici e sul sito internet del Comune;</w:t>
      </w:r>
    </w:p>
    <w:p w:rsidR="006B731A" w:rsidRPr="006B731A" w:rsidRDefault="006B731A" w:rsidP="006B731A">
      <w:pPr>
        <w:pStyle w:val="Corpotesto1"/>
        <w:ind w:right="-2"/>
      </w:pPr>
      <w:r w:rsidRPr="006B731A">
        <w:rPr>
          <w:b/>
          <w:bCs/>
        </w:rPr>
        <w:t>Vista</w:t>
      </w:r>
      <w:r w:rsidRPr="006B731A">
        <w:t xml:space="preserve"> la certificazione di avvenuto deposito da parte del Segretario Generale dott. Guido Piras del 03/10/2014, allegata alla presente;</w:t>
      </w:r>
    </w:p>
    <w:p w:rsidR="006B731A" w:rsidRPr="006B731A" w:rsidRDefault="006B731A" w:rsidP="006B731A">
      <w:pPr>
        <w:pStyle w:val="Corpotesto1"/>
        <w:ind w:right="-2"/>
      </w:pPr>
      <w:r w:rsidRPr="006B731A">
        <w:rPr>
          <w:b/>
        </w:rPr>
        <w:t xml:space="preserve">Rilevato </w:t>
      </w:r>
      <w:r w:rsidRPr="006B731A">
        <w:t>che, nel periodo per la presentazione delle osservazioni di cui all’articolo 18 comma 3 della L.R. n. 11/2004 e fino alla data odierna, non risultano pervenute osservazioni</w:t>
      </w:r>
      <w:r w:rsidRPr="006B731A">
        <w:rPr>
          <w:bCs/>
        </w:rPr>
        <w:t>, giusta attestazione</w:t>
      </w:r>
      <w:r w:rsidRPr="006B731A">
        <w:rPr>
          <w:b/>
        </w:rPr>
        <w:t xml:space="preserve"> </w:t>
      </w:r>
      <w:r w:rsidRPr="006B731A">
        <w:rPr>
          <w:bCs/>
        </w:rPr>
        <w:t>del Segretario Generale del Comune di Spinea di cui sopra;</w:t>
      </w:r>
    </w:p>
    <w:p w:rsidR="006B731A" w:rsidRPr="006B731A" w:rsidRDefault="006B731A" w:rsidP="006B731A">
      <w:pPr>
        <w:pStyle w:val="Corpotesto1"/>
        <w:ind w:right="-2"/>
      </w:pPr>
      <w:r w:rsidRPr="006B731A">
        <w:rPr>
          <w:b/>
        </w:rPr>
        <w:t>Ricordato</w:t>
      </w:r>
      <w:r w:rsidRPr="006B731A">
        <w:t xml:space="preserve"> che la variante adottata è stata oggetto di asseverazione di non necessità della valutazione idraulica, dichiarata con nota prot. n. 13457/2014 del 02/05/2014;</w:t>
      </w:r>
    </w:p>
    <w:p w:rsidR="006B731A" w:rsidRPr="006B731A" w:rsidRDefault="006B731A" w:rsidP="006B731A">
      <w:pPr>
        <w:pStyle w:val="Corpotesto1"/>
        <w:ind w:right="-2"/>
      </w:pPr>
      <w:r w:rsidRPr="006B731A">
        <w:rPr>
          <w:b/>
        </w:rPr>
        <w:t>Verificato</w:t>
      </w:r>
      <w:r w:rsidRPr="006B731A">
        <w:t xml:space="preserve"> che successivamente con prot. </w:t>
      </w:r>
      <w:proofErr w:type="spellStart"/>
      <w:r w:rsidRPr="006B731A">
        <w:t>com.le</w:t>
      </w:r>
      <w:proofErr w:type="spellEnd"/>
      <w:r w:rsidRPr="006B731A">
        <w:t xml:space="preserve"> n. 19960 del 03/07/2014 veniva acquisito agli atti il parere favorevole con prescrizioni da parte della Sezione Bacino Idrografico Litorale Veneto (ex Genio Civile), prot. 283081 del 02/07/2014 (v. </w:t>
      </w:r>
      <w:proofErr w:type="spellStart"/>
      <w:r w:rsidRPr="006B731A">
        <w:t>All</w:t>
      </w:r>
      <w:proofErr w:type="spellEnd"/>
      <w:r w:rsidRPr="006B731A">
        <w:t>. 1);</w:t>
      </w:r>
    </w:p>
    <w:p w:rsidR="006B731A" w:rsidRPr="006B731A" w:rsidRDefault="006B731A" w:rsidP="006B731A">
      <w:pPr>
        <w:pStyle w:val="Corpotesto1"/>
        <w:ind w:right="-2"/>
      </w:pPr>
      <w:r w:rsidRPr="006B731A">
        <w:rPr>
          <w:b/>
        </w:rPr>
        <w:lastRenderedPageBreak/>
        <w:t xml:space="preserve">Ricordato </w:t>
      </w:r>
      <w:r w:rsidRPr="006B731A">
        <w:t>che è stato richiesto</w:t>
      </w:r>
      <w:r w:rsidRPr="006B731A">
        <w:rPr>
          <w:b/>
        </w:rPr>
        <w:t xml:space="preserve"> </w:t>
      </w:r>
      <w:r w:rsidRPr="006B731A">
        <w:t xml:space="preserve">parere alla competente </w:t>
      </w:r>
      <w:proofErr w:type="spellStart"/>
      <w:r w:rsidRPr="006B731A">
        <w:t>Ulss</w:t>
      </w:r>
      <w:proofErr w:type="spellEnd"/>
      <w:r w:rsidRPr="006B731A">
        <w:t xml:space="preserve"> 13 – Dipartimento Prevenzione con Prot. </w:t>
      </w:r>
      <w:proofErr w:type="spellStart"/>
      <w:r w:rsidRPr="006B731A">
        <w:t>com.le</w:t>
      </w:r>
      <w:proofErr w:type="spellEnd"/>
      <w:r w:rsidRPr="006B731A">
        <w:t xml:space="preserve"> n° 13455/2014 del 02/05/2014 e che con prot. </w:t>
      </w:r>
      <w:proofErr w:type="spellStart"/>
      <w:r w:rsidRPr="006B731A">
        <w:t>com.le</w:t>
      </w:r>
      <w:proofErr w:type="spellEnd"/>
      <w:r w:rsidRPr="006B731A">
        <w:t xml:space="preserve"> n° 16157 del 27/05/2014 veniva acquisito agli atti il parere favorevole con osservazioni da parte della competente </w:t>
      </w:r>
      <w:proofErr w:type="spellStart"/>
      <w:r w:rsidRPr="006B731A">
        <w:t>Ulss</w:t>
      </w:r>
      <w:proofErr w:type="spellEnd"/>
      <w:r w:rsidRPr="006B731A">
        <w:t xml:space="preserve"> 13, Prot. n°  III.4 / 44442  I  EDU del 26/05/2014 (v. </w:t>
      </w:r>
      <w:proofErr w:type="spellStart"/>
      <w:r w:rsidRPr="006B731A">
        <w:t>All</w:t>
      </w:r>
      <w:proofErr w:type="spellEnd"/>
      <w:r w:rsidRPr="006B731A">
        <w:t>. 2);</w:t>
      </w:r>
    </w:p>
    <w:p w:rsidR="006B731A" w:rsidRPr="006B731A" w:rsidRDefault="006B731A" w:rsidP="006B731A">
      <w:pPr>
        <w:pStyle w:val="Corpotesto1"/>
        <w:ind w:right="-2"/>
      </w:pPr>
      <w:r w:rsidRPr="006B731A">
        <w:rPr>
          <w:b/>
        </w:rPr>
        <w:t>Verificato,</w:t>
      </w:r>
      <w:r w:rsidRPr="006B731A">
        <w:t xml:space="preserve"> a seguito di un incontro per la Valutazione Ambientale Strategica (VAS) con la Sezione coordinamento Commissioni (VAS VINCA NUVV) della Regione del Veneto del 16/06/2014, che si tratta di fattispecie che risulta da non assoggettare ad alcuna verifica di assoggettabilità in quanto caso ricadente nelle esclusioni di cui alla </w:t>
      </w:r>
      <w:proofErr w:type="spellStart"/>
      <w:r w:rsidRPr="006B731A">
        <w:t>Dgrv</w:t>
      </w:r>
      <w:proofErr w:type="spellEnd"/>
      <w:r w:rsidRPr="006B731A">
        <w:t xml:space="preserve"> 1717/2013 (v. </w:t>
      </w:r>
      <w:proofErr w:type="spellStart"/>
      <w:r w:rsidRPr="006B731A">
        <w:t>All</w:t>
      </w:r>
      <w:proofErr w:type="spellEnd"/>
      <w:r w:rsidRPr="006B731A">
        <w:t>. 3);</w:t>
      </w:r>
    </w:p>
    <w:p w:rsidR="006B731A" w:rsidRPr="006B731A" w:rsidRDefault="006B731A" w:rsidP="006B731A">
      <w:pPr>
        <w:pStyle w:val="Corpotesto1"/>
        <w:ind w:right="-2"/>
      </w:pPr>
      <w:r w:rsidRPr="006B731A">
        <w:rPr>
          <w:b/>
        </w:rPr>
        <w:t>Verificato</w:t>
      </w:r>
      <w:r w:rsidRPr="006B731A">
        <w:t xml:space="preserve"> che la variante non comporta consumo di SAU in quanto consiste nella trasformazione da “Area per attrezzature a parco, per il gioco e lo sport” già realizzata (pertanto non utilizzata ad uso agricolo), ad area a destinazione residenziale “C1”.</w:t>
      </w:r>
    </w:p>
    <w:p w:rsidR="006B731A" w:rsidRPr="006B731A" w:rsidRDefault="006B731A" w:rsidP="006B731A">
      <w:pPr>
        <w:pStyle w:val="Corpotesto1"/>
        <w:ind w:right="-2"/>
        <w:rPr>
          <w:b/>
        </w:rPr>
      </w:pPr>
    </w:p>
    <w:p w:rsidR="006B731A" w:rsidRPr="006B731A" w:rsidRDefault="006B731A" w:rsidP="006B731A">
      <w:pPr>
        <w:pStyle w:val="Corpotesto1"/>
        <w:ind w:right="-2"/>
      </w:pPr>
      <w:r w:rsidRPr="006B731A">
        <w:rPr>
          <w:b/>
        </w:rPr>
        <w:t>Visto</w:t>
      </w:r>
      <w:r w:rsidRPr="006B731A">
        <w:t xml:space="preserve"> </w:t>
      </w:r>
      <w:r w:rsidRPr="006B731A">
        <w:rPr>
          <w:bCs/>
        </w:rPr>
        <w:t>l'art. 18 della L.R. 23.04.2004 n. 11</w:t>
      </w:r>
      <w:r w:rsidRPr="006B731A">
        <w:t>;</w:t>
      </w:r>
    </w:p>
    <w:p w:rsidR="006B731A" w:rsidRPr="006B731A" w:rsidRDefault="006B731A" w:rsidP="006B731A">
      <w:pPr>
        <w:pStyle w:val="Nessunelenco1"/>
        <w:jc w:val="both"/>
        <w:rPr>
          <w:bCs/>
        </w:rPr>
      </w:pPr>
      <w:r w:rsidRPr="006B731A">
        <w:rPr>
          <w:b/>
          <w:bCs/>
        </w:rPr>
        <w:t>Visto</w:t>
      </w:r>
      <w:r w:rsidRPr="006B731A">
        <w:rPr>
          <w:bCs/>
        </w:rPr>
        <w:t xml:space="preserve"> il parere espresso ai sensi dell’art. 49 del D.Lgs. n. 267/2000 in merito alla regolarità tecnica del presente provvedimento;</w:t>
      </w:r>
    </w:p>
    <w:p w:rsidR="006B731A" w:rsidRPr="006B731A" w:rsidRDefault="006B731A" w:rsidP="006B731A">
      <w:pPr>
        <w:pStyle w:val="Nessunelenco1"/>
        <w:jc w:val="both"/>
        <w:rPr>
          <w:bCs/>
        </w:rPr>
      </w:pPr>
      <w:r w:rsidRPr="006B731A">
        <w:rPr>
          <w:b/>
          <w:bCs/>
        </w:rPr>
        <w:t>Visto</w:t>
      </w:r>
      <w:r w:rsidRPr="006B731A">
        <w:rPr>
          <w:bCs/>
        </w:rPr>
        <w:t xml:space="preserve"> l’art. 42 del D.Lgs. n. 267/2000;</w:t>
      </w:r>
    </w:p>
    <w:p w:rsidR="006B731A" w:rsidRPr="006B731A" w:rsidRDefault="006B731A" w:rsidP="006B731A">
      <w:pPr>
        <w:pStyle w:val="Nessunelenco1"/>
        <w:jc w:val="both"/>
        <w:rPr>
          <w:bCs/>
        </w:rPr>
      </w:pPr>
      <w:r w:rsidRPr="006B731A">
        <w:rPr>
          <w:b/>
          <w:bCs/>
        </w:rPr>
        <w:t>Udite</w:t>
      </w:r>
      <w:r w:rsidRPr="006B731A">
        <w:rPr>
          <w:bCs/>
        </w:rPr>
        <w:t xml:space="preserve"> le dichiarazioni di voto dei consiglieri:</w:t>
      </w:r>
    </w:p>
    <w:p w:rsidR="006B731A" w:rsidRPr="006B731A" w:rsidRDefault="006B731A" w:rsidP="006B731A">
      <w:pPr>
        <w:jc w:val="both"/>
        <w:rPr>
          <w:rFonts w:ascii="Times New Roman" w:hAnsi="Times New Roman"/>
        </w:rPr>
      </w:pPr>
      <w:r w:rsidRPr="006B731A">
        <w:rPr>
          <w:rFonts w:ascii="Times New Roman" w:hAnsi="Times New Roman"/>
        </w:rPr>
        <w:t>Con votazione, effettuata a scrutinio palese, con il seguente esito:</w:t>
      </w:r>
    </w:p>
    <w:p w:rsidR="006B731A" w:rsidRPr="006B731A" w:rsidRDefault="006B731A" w:rsidP="006B731A">
      <w:pPr>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9"/>
        <w:gridCol w:w="1637"/>
        <w:gridCol w:w="1653"/>
        <w:gridCol w:w="1617"/>
        <w:gridCol w:w="1650"/>
        <w:gridCol w:w="1619"/>
      </w:tblGrid>
      <w:tr w:rsidR="006B731A" w:rsidRPr="006B731A" w:rsidTr="009F3C13">
        <w:tc>
          <w:tcPr>
            <w:tcW w:w="1685" w:type="dxa"/>
          </w:tcPr>
          <w:p w:rsidR="006B731A" w:rsidRPr="006B731A" w:rsidRDefault="006B731A" w:rsidP="009F3C13">
            <w:pPr>
              <w:jc w:val="both"/>
              <w:rPr>
                <w:rFonts w:ascii="Times New Roman" w:hAnsi="Times New Roman"/>
              </w:rPr>
            </w:pPr>
            <w:r w:rsidRPr="006B731A">
              <w:rPr>
                <w:rFonts w:ascii="Times New Roman" w:hAnsi="Times New Roman"/>
              </w:rPr>
              <w:t>PRESENTI</w:t>
            </w:r>
          </w:p>
        </w:tc>
        <w:bookmarkStart w:id="1" w:name="Presenti"/>
        <w:tc>
          <w:tcPr>
            <w:tcW w:w="1685" w:type="dxa"/>
          </w:tcPr>
          <w:p w:rsidR="006B731A" w:rsidRPr="006B731A" w:rsidRDefault="006B731A" w:rsidP="009F3C13">
            <w:pPr>
              <w:jc w:val="both"/>
              <w:rPr>
                <w:rFonts w:ascii="Times New Roman" w:hAnsi="Times New Roman"/>
              </w:rPr>
            </w:pPr>
            <w:r w:rsidRPr="006B731A">
              <w:rPr>
                <w:rFonts w:ascii="Times New Roman" w:hAnsi="Times New Roman"/>
              </w:rPr>
              <w:fldChar w:fldCharType="begin">
                <w:ffData>
                  <w:name w:val="Presenti"/>
                  <w:enabled/>
                  <w:calcOnExit w:val="0"/>
                  <w:textInput>
                    <w:default w:val="Presenti"/>
                  </w:textInput>
                </w:ffData>
              </w:fldChar>
            </w:r>
            <w:r w:rsidRPr="006B731A">
              <w:rPr>
                <w:rFonts w:ascii="Times New Roman" w:hAnsi="Times New Roman"/>
              </w:rPr>
              <w:instrText xml:space="preserve"> FORMTEXT </w:instrText>
            </w:r>
            <w:r w:rsidRPr="006B731A">
              <w:rPr>
                <w:rFonts w:ascii="Times New Roman" w:hAnsi="Times New Roman"/>
              </w:rPr>
            </w:r>
            <w:r w:rsidRPr="006B731A">
              <w:rPr>
                <w:rFonts w:ascii="Times New Roman" w:hAnsi="Times New Roman"/>
              </w:rPr>
              <w:fldChar w:fldCharType="separate"/>
            </w:r>
            <w:r w:rsidRPr="006B731A">
              <w:rPr>
                <w:rFonts w:ascii="Times New Roman" w:hAnsi="Times New Roman"/>
                <w:noProof/>
              </w:rPr>
              <w:t>Presenti</w:t>
            </w:r>
            <w:r w:rsidRPr="006B731A">
              <w:rPr>
                <w:rFonts w:ascii="Times New Roman" w:hAnsi="Times New Roman"/>
              </w:rPr>
              <w:fldChar w:fldCharType="end"/>
            </w:r>
            <w:bookmarkEnd w:id="1"/>
          </w:p>
        </w:tc>
        <w:tc>
          <w:tcPr>
            <w:tcW w:w="1685" w:type="dxa"/>
          </w:tcPr>
          <w:p w:rsidR="006B731A" w:rsidRPr="006B731A" w:rsidRDefault="006B731A" w:rsidP="009F3C13">
            <w:pPr>
              <w:jc w:val="both"/>
              <w:rPr>
                <w:rFonts w:ascii="Times New Roman" w:hAnsi="Times New Roman"/>
              </w:rPr>
            </w:pPr>
            <w:r w:rsidRPr="006B731A">
              <w:rPr>
                <w:rFonts w:ascii="Times New Roman" w:hAnsi="Times New Roman"/>
              </w:rPr>
              <w:t>ASSENTI</w:t>
            </w:r>
          </w:p>
        </w:tc>
        <w:bookmarkStart w:id="2" w:name="Assenti"/>
        <w:tc>
          <w:tcPr>
            <w:tcW w:w="1685" w:type="dxa"/>
          </w:tcPr>
          <w:p w:rsidR="006B731A" w:rsidRPr="006B731A" w:rsidRDefault="006B731A" w:rsidP="009F3C13">
            <w:pPr>
              <w:jc w:val="both"/>
              <w:rPr>
                <w:rFonts w:ascii="Times New Roman" w:hAnsi="Times New Roman"/>
              </w:rPr>
            </w:pPr>
            <w:r w:rsidRPr="006B731A">
              <w:rPr>
                <w:rFonts w:ascii="Times New Roman" w:hAnsi="Times New Roman"/>
              </w:rPr>
              <w:fldChar w:fldCharType="begin">
                <w:ffData>
                  <w:name w:val="Assenti"/>
                  <w:enabled/>
                  <w:calcOnExit w:val="0"/>
                  <w:textInput>
                    <w:default w:val="Assenti"/>
                  </w:textInput>
                </w:ffData>
              </w:fldChar>
            </w:r>
            <w:r w:rsidRPr="006B731A">
              <w:rPr>
                <w:rFonts w:ascii="Times New Roman" w:hAnsi="Times New Roman"/>
              </w:rPr>
              <w:instrText xml:space="preserve"> FORMTEXT </w:instrText>
            </w:r>
            <w:r w:rsidRPr="006B731A">
              <w:rPr>
                <w:rFonts w:ascii="Times New Roman" w:hAnsi="Times New Roman"/>
              </w:rPr>
            </w:r>
            <w:r w:rsidRPr="006B731A">
              <w:rPr>
                <w:rFonts w:ascii="Times New Roman" w:hAnsi="Times New Roman"/>
              </w:rPr>
              <w:fldChar w:fldCharType="separate"/>
            </w:r>
            <w:r w:rsidRPr="006B731A">
              <w:rPr>
                <w:rFonts w:ascii="Times New Roman" w:hAnsi="Times New Roman"/>
                <w:noProof/>
              </w:rPr>
              <w:t>Assenti</w:t>
            </w:r>
            <w:r w:rsidRPr="006B731A">
              <w:rPr>
                <w:rFonts w:ascii="Times New Roman" w:hAnsi="Times New Roman"/>
              </w:rPr>
              <w:fldChar w:fldCharType="end"/>
            </w:r>
            <w:bookmarkEnd w:id="2"/>
          </w:p>
        </w:tc>
        <w:tc>
          <w:tcPr>
            <w:tcW w:w="1686" w:type="dxa"/>
          </w:tcPr>
          <w:p w:rsidR="006B731A" w:rsidRPr="006B731A" w:rsidRDefault="006B731A" w:rsidP="009F3C13">
            <w:pPr>
              <w:jc w:val="both"/>
              <w:rPr>
                <w:rFonts w:ascii="Times New Roman" w:hAnsi="Times New Roman"/>
              </w:rPr>
            </w:pPr>
            <w:r w:rsidRPr="006B731A">
              <w:rPr>
                <w:rFonts w:ascii="Times New Roman" w:hAnsi="Times New Roman"/>
              </w:rPr>
              <w:t>VOTANTI</w:t>
            </w:r>
          </w:p>
        </w:tc>
        <w:bookmarkStart w:id="3" w:name="Votanti"/>
        <w:tc>
          <w:tcPr>
            <w:tcW w:w="1686" w:type="dxa"/>
          </w:tcPr>
          <w:p w:rsidR="006B731A" w:rsidRPr="006B731A" w:rsidRDefault="006B731A" w:rsidP="009F3C13">
            <w:pPr>
              <w:jc w:val="both"/>
              <w:rPr>
                <w:rFonts w:ascii="Times New Roman" w:hAnsi="Times New Roman"/>
              </w:rPr>
            </w:pPr>
            <w:r w:rsidRPr="006B731A">
              <w:rPr>
                <w:rFonts w:ascii="Times New Roman" w:hAnsi="Times New Roman"/>
              </w:rPr>
              <w:fldChar w:fldCharType="begin">
                <w:ffData>
                  <w:name w:val="Votanti"/>
                  <w:enabled/>
                  <w:calcOnExit w:val="0"/>
                  <w:textInput>
                    <w:default w:val="Votanti"/>
                  </w:textInput>
                </w:ffData>
              </w:fldChar>
            </w:r>
            <w:r w:rsidRPr="006B731A">
              <w:rPr>
                <w:rFonts w:ascii="Times New Roman" w:hAnsi="Times New Roman"/>
              </w:rPr>
              <w:instrText xml:space="preserve"> FORMTEXT </w:instrText>
            </w:r>
            <w:r w:rsidRPr="006B731A">
              <w:rPr>
                <w:rFonts w:ascii="Times New Roman" w:hAnsi="Times New Roman"/>
              </w:rPr>
            </w:r>
            <w:r w:rsidRPr="006B731A">
              <w:rPr>
                <w:rFonts w:ascii="Times New Roman" w:hAnsi="Times New Roman"/>
              </w:rPr>
              <w:fldChar w:fldCharType="separate"/>
            </w:r>
            <w:r w:rsidRPr="006B731A">
              <w:rPr>
                <w:rFonts w:ascii="Times New Roman" w:hAnsi="Times New Roman"/>
                <w:noProof/>
              </w:rPr>
              <w:t>Votanti</w:t>
            </w:r>
            <w:r w:rsidRPr="006B731A">
              <w:rPr>
                <w:rFonts w:ascii="Times New Roman" w:hAnsi="Times New Roman"/>
              </w:rPr>
              <w:fldChar w:fldCharType="end"/>
            </w:r>
            <w:bookmarkEnd w:id="3"/>
          </w:p>
        </w:tc>
      </w:tr>
      <w:tr w:rsidR="006B731A" w:rsidRPr="006B731A" w:rsidTr="009F3C13">
        <w:tc>
          <w:tcPr>
            <w:tcW w:w="1685" w:type="dxa"/>
          </w:tcPr>
          <w:p w:rsidR="006B731A" w:rsidRPr="006B731A" w:rsidRDefault="006B731A" w:rsidP="009F3C13">
            <w:pPr>
              <w:jc w:val="both"/>
              <w:rPr>
                <w:rFonts w:ascii="Times New Roman" w:hAnsi="Times New Roman"/>
              </w:rPr>
            </w:pPr>
            <w:r w:rsidRPr="006B731A">
              <w:rPr>
                <w:rFonts w:ascii="Times New Roman" w:hAnsi="Times New Roman"/>
              </w:rPr>
              <w:t>FAVOREVOLI</w:t>
            </w:r>
          </w:p>
        </w:tc>
        <w:bookmarkStart w:id="4" w:name="Favorevoli"/>
        <w:tc>
          <w:tcPr>
            <w:tcW w:w="1685" w:type="dxa"/>
          </w:tcPr>
          <w:p w:rsidR="006B731A" w:rsidRPr="006B731A" w:rsidRDefault="006B731A" w:rsidP="009F3C13">
            <w:pPr>
              <w:jc w:val="both"/>
              <w:rPr>
                <w:rFonts w:ascii="Times New Roman" w:hAnsi="Times New Roman"/>
              </w:rPr>
            </w:pPr>
            <w:r w:rsidRPr="006B731A">
              <w:rPr>
                <w:rFonts w:ascii="Times New Roman" w:hAnsi="Times New Roman"/>
              </w:rPr>
              <w:fldChar w:fldCharType="begin">
                <w:ffData>
                  <w:name w:val="Favorevoli"/>
                  <w:enabled/>
                  <w:calcOnExit w:val="0"/>
                  <w:textInput>
                    <w:default w:val="Favorevoli"/>
                  </w:textInput>
                </w:ffData>
              </w:fldChar>
            </w:r>
            <w:r w:rsidRPr="006B731A">
              <w:rPr>
                <w:rFonts w:ascii="Times New Roman" w:hAnsi="Times New Roman"/>
              </w:rPr>
              <w:instrText xml:space="preserve"> FORMTEXT </w:instrText>
            </w:r>
            <w:r w:rsidRPr="006B731A">
              <w:rPr>
                <w:rFonts w:ascii="Times New Roman" w:hAnsi="Times New Roman"/>
              </w:rPr>
            </w:r>
            <w:r w:rsidRPr="006B731A">
              <w:rPr>
                <w:rFonts w:ascii="Times New Roman" w:hAnsi="Times New Roman"/>
              </w:rPr>
              <w:fldChar w:fldCharType="separate"/>
            </w:r>
            <w:r w:rsidRPr="006B731A">
              <w:rPr>
                <w:rFonts w:ascii="Times New Roman" w:hAnsi="Times New Roman"/>
                <w:noProof/>
              </w:rPr>
              <w:t>Favorevoli</w:t>
            </w:r>
            <w:r w:rsidRPr="006B731A">
              <w:rPr>
                <w:rFonts w:ascii="Times New Roman" w:hAnsi="Times New Roman"/>
              </w:rPr>
              <w:fldChar w:fldCharType="end"/>
            </w:r>
            <w:bookmarkEnd w:id="4"/>
          </w:p>
        </w:tc>
        <w:tc>
          <w:tcPr>
            <w:tcW w:w="1685" w:type="dxa"/>
          </w:tcPr>
          <w:p w:rsidR="006B731A" w:rsidRPr="006B731A" w:rsidRDefault="006B731A" w:rsidP="009F3C13">
            <w:pPr>
              <w:jc w:val="both"/>
              <w:rPr>
                <w:rFonts w:ascii="Times New Roman" w:hAnsi="Times New Roman"/>
              </w:rPr>
            </w:pPr>
            <w:r w:rsidRPr="006B731A">
              <w:rPr>
                <w:rFonts w:ascii="Times New Roman" w:hAnsi="Times New Roman"/>
              </w:rPr>
              <w:t>CONTRARI</w:t>
            </w:r>
          </w:p>
        </w:tc>
        <w:bookmarkStart w:id="5" w:name="Contrari"/>
        <w:tc>
          <w:tcPr>
            <w:tcW w:w="1685" w:type="dxa"/>
          </w:tcPr>
          <w:p w:rsidR="006B731A" w:rsidRPr="006B731A" w:rsidRDefault="006B731A" w:rsidP="009F3C13">
            <w:pPr>
              <w:jc w:val="both"/>
              <w:rPr>
                <w:rFonts w:ascii="Times New Roman" w:hAnsi="Times New Roman"/>
              </w:rPr>
            </w:pPr>
            <w:r w:rsidRPr="006B731A">
              <w:rPr>
                <w:rFonts w:ascii="Times New Roman" w:hAnsi="Times New Roman"/>
              </w:rPr>
              <w:fldChar w:fldCharType="begin">
                <w:ffData>
                  <w:name w:val="Contrari"/>
                  <w:enabled/>
                  <w:calcOnExit w:val="0"/>
                  <w:textInput>
                    <w:default w:val="Contrari"/>
                  </w:textInput>
                </w:ffData>
              </w:fldChar>
            </w:r>
            <w:r w:rsidRPr="006B731A">
              <w:rPr>
                <w:rFonts w:ascii="Times New Roman" w:hAnsi="Times New Roman"/>
              </w:rPr>
              <w:instrText xml:space="preserve"> FORMTEXT </w:instrText>
            </w:r>
            <w:r w:rsidRPr="006B731A">
              <w:rPr>
                <w:rFonts w:ascii="Times New Roman" w:hAnsi="Times New Roman"/>
              </w:rPr>
            </w:r>
            <w:r w:rsidRPr="006B731A">
              <w:rPr>
                <w:rFonts w:ascii="Times New Roman" w:hAnsi="Times New Roman"/>
              </w:rPr>
              <w:fldChar w:fldCharType="separate"/>
            </w:r>
            <w:r w:rsidRPr="006B731A">
              <w:rPr>
                <w:rFonts w:ascii="Times New Roman" w:hAnsi="Times New Roman"/>
                <w:noProof/>
              </w:rPr>
              <w:t>Contrari</w:t>
            </w:r>
            <w:r w:rsidRPr="006B731A">
              <w:rPr>
                <w:rFonts w:ascii="Times New Roman" w:hAnsi="Times New Roman"/>
              </w:rPr>
              <w:fldChar w:fldCharType="end"/>
            </w:r>
            <w:bookmarkEnd w:id="5"/>
          </w:p>
        </w:tc>
        <w:tc>
          <w:tcPr>
            <w:tcW w:w="1686" w:type="dxa"/>
          </w:tcPr>
          <w:p w:rsidR="006B731A" w:rsidRPr="006B731A" w:rsidRDefault="006B731A" w:rsidP="009F3C13">
            <w:pPr>
              <w:jc w:val="both"/>
              <w:rPr>
                <w:rFonts w:ascii="Times New Roman" w:hAnsi="Times New Roman"/>
              </w:rPr>
            </w:pPr>
            <w:r w:rsidRPr="006B731A">
              <w:rPr>
                <w:rFonts w:ascii="Times New Roman" w:hAnsi="Times New Roman"/>
              </w:rPr>
              <w:t>ASTENUTI</w:t>
            </w:r>
          </w:p>
        </w:tc>
        <w:bookmarkStart w:id="6" w:name="Astenuti"/>
        <w:tc>
          <w:tcPr>
            <w:tcW w:w="1686" w:type="dxa"/>
          </w:tcPr>
          <w:p w:rsidR="006B731A" w:rsidRPr="006B731A" w:rsidRDefault="006B731A" w:rsidP="009F3C13">
            <w:pPr>
              <w:jc w:val="both"/>
              <w:rPr>
                <w:rFonts w:ascii="Times New Roman" w:hAnsi="Times New Roman"/>
              </w:rPr>
            </w:pPr>
            <w:r w:rsidRPr="006B731A">
              <w:rPr>
                <w:rFonts w:ascii="Times New Roman" w:hAnsi="Times New Roman"/>
              </w:rPr>
              <w:fldChar w:fldCharType="begin">
                <w:ffData>
                  <w:name w:val="Astenuti"/>
                  <w:enabled/>
                  <w:calcOnExit w:val="0"/>
                  <w:textInput>
                    <w:default w:val="Astenuti"/>
                  </w:textInput>
                </w:ffData>
              </w:fldChar>
            </w:r>
            <w:r w:rsidRPr="006B731A">
              <w:rPr>
                <w:rFonts w:ascii="Times New Roman" w:hAnsi="Times New Roman"/>
              </w:rPr>
              <w:instrText xml:space="preserve"> FORMTEXT </w:instrText>
            </w:r>
            <w:r w:rsidRPr="006B731A">
              <w:rPr>
                <w:rFonts w:ascii="Times New Roman" w:hAnsi="Times New Roman"/>
              </w:rPr>
            </w:r>
            <w:r w:rsidRPr="006B731A">
              <w:rPr>
                <w:rFonts w:ascii="Times New Roman" w:hAnsi="Times New Roman"/>
              </w:rPr>
              <w:fldChar w:fldCharType="separate"/>
            </w:r>
            <w:r w:rsidRPr="006B731A">
              <w:rPr>
                <w:rFonts w:ascii="Times New Roman" w:hAnsi="Times New Roman"/>
                <w:noProof/>
              </w:rPr>
              <w:t>Astenuti</w:t>
            </w:r>
            <w:r w:rsidRPr="006B731A">
              <w:rPr>
                <w:rFonts w:ascii="Times New Roman" w:hAnsi="Times New Roman"/>
              </w:rPr>
              <w:fldChar w:fldCharType="end"/>
            </w:r>
            <w:bookmarkEnd w:id="6"/>
          </w:p>
        </w:tc>
      </w:tr>
      <w:tr w:rsidR="006B731A" w:rsidRPr="006B731A" w:rsidTr="009F3C13">
        <w:tc>
          <w:tcPr>
            <w:tcW w:w="1685" w:type="dxa"/>
          </w:tcPr>
          <w:p w:rsidR="006B731A" w:rsidRPr="006B731A" w:rsidRDefault="006B731A" w:rsidP="009F3C13">
            <w:pPr>
              <w:jc w:val="both"/>
              <w:rPr>
                <w:rFonts w:ascii="Times New Roman" w:hAnsi="Times New Roman"/>
              </w:rPr>
            </w:pPr>
          </w:p>
        </w:tc>
        <w:tc>
          <w:tcPr>
            <w:tcW w:w="1685" w:type="dxa"/>
          </w:tcPr>
          <w:p w:rsidR="006B731A" w:rsidRPr="006B731A" w:rsidRDefault="006B731A" w:rsidP="009F3C13">
            <w:pPr>
              <w:jc w:val="both"/>
              <w:rPr>
                <w:rFonts w:ascii="Times New Roman" w:hAnsi="Times New Roman"/>
              </w:rPr>
            </w:pPr>
          </w:p>
        </w:tc>
        <w:tc>
          <w:tcPr>
            <w:tcW w:w="1685" w:type="dxa"/>
          </w:tcPr>
          <w:p w:rsidR="006B731A" w:rsidRPr="006B731A" w:rsidRDefault="006B731A" w:rsidP="009F3C13">
            <w:pPr>
              <w:jc w:val="both"/>
              <w:rPr>
                <w:rFonts w:ascii="Times New Roman" w:hAnsi="Times New Roman"/>
              </w:rPr>
            </w:pPr>
          </w:p>
        </w:tc>
        <w:tc>
          <w:tcPr>
            <w:tcW w:w="1685" w:type="dxa"/>
          </w:tcPr>
          <w:p w:rsidR="006B731A" w:rsidRPr="006B731A" w:rsidRDefault="006B731A" w:rsidP="009F3C13">
            <w:pPr>
              <w:jc w:val="both"/>
              <w:rPr>
                <w:rFonts w:ascii="Times New Roman" w:hAnsi="Times New Roman"/>
              </w:rPr>
            </w:pPr>
          </w:p>
        </w:tc>
        <w:tc>
          <w:tcPr>
            <w:tcW w:w="1686" w:type="dxa"/>
          </w:tcPr>
          <w:p w:rsidR="006B731A" w:rsidRPr="006B731A" w:rsidRDefault="006B731A" w:rsidP="009F3C13">
            <w:pPr>
              <w:jc w:val="both"/>
              <w:rPr>
                <w:rFonts w:ascii="Times New Roman" w:hAnsi="Times New Roman"/>
              </w:rPr>
            </w:pPr>
          </w:p>
        </w:tc>
        <w:tc>
          <w:tcPr>
            <w:tcW w:w="1686" w:type="dxa"/>
          </w:tcPr>
          <w:p w:rsidR="006B731A" w:rsidRPr="006B731A" w:rsidRDefault="006B731A" w:rsidP="009F3C13">
            <w:pPr>
              <w:jc w:val="both"/>
              <w:rPr>
                <w:rFonts w:ascii="Times New Roman" w:hAnsi="Times New Roman"/>
              </w:rPr>
            </w:pPr>
          </w:p>
        </w:tc>
      </w:tr>
    </w:tbl>
    <w:p w:rsidR="006B731A" w:rsidRPr="006B731A" w:rsidRDefault="006B731A" w:rsidP="006B731A">
      <w:pPr>
        <w:jc w:val="both"/>
        <w:rPr>
          <w:rFonts w:ascii="Times New Roman" w:hAnsi="Times New Roman"/>
        </w:rPr>
      </w:pPr>
    </w:p>
    <w:p w:rsidR="006B731A" w:rsidRPr="006B731A" w:rsidRDefault="006B731A" w:rsidP="006B731A">
      <w:pPr>
        <w:jc w:val="center"/>
        <w:rPr>
          <w:rFonts w:ascii="Times New Roman" w:hAnsi="Times New Roman"/>
          <w:b/>
          <w:caps/>
          <w:szCs w:val="28"/>
        </w:rPr>
      </w:pPr>
      <w:r w:rsidRPr="006B731A">
        <w:rPr>
          <w:rFonts w:ascii="Times New Roman" w:hAnsi="Times New Roman"/>
          <w:b/>
          <w:caps/>
          <w:szCs w:val="28"/>
        </w:rPr>
        <w:t>delibera</w:t>
      </w:r>
    </w:p>
    <w:p w:rsidR="006B731A" w:rsidRPr="006B731A" w:rsidRDefault="006B731A" w:rsidP="006B731A">
      <w:pPr>
        <w:jc w:val="center"/>
        <w:rPr>
          <w:rFonts w:ascii="Times New Roman" w:hAnsi="Times New Roman"/>
          <w:b/>
          <w:caps/>
          <w:szCs w:val="28"/>
        </w:rPr>
      </w:pPr>
    </w:p>
    <w:p w:rsidR="006B731A" w:rsidRPr="006B731A" w:rsidRDefault="006B731A" w:rsidP="006B731A">
      <w:pPr>
        <w:pStyle w:val="Normal965b23b7-d9f9-4ce8-93e3-a6b2ab6219a4"/>
        <w:numPr>
          <w:ilvl w:val="0"/>
          <w:numId w:val="1"/>
        </w:numPr>
        <w:tabs>
          <w:tab w:val="clear" w:pos="720"/>
        </w:tabs>
        <w:ind w:left="284" w:hanging="284"/>
        <w:jc w:val="both"/>
        <w:rPr>
          <w:sz w:val="20"/>
        </w:rPr>
      </w:pPr>
      <w:r w:rsidRPr="006B731A">
        <w:rPr>
          <w:b/>
          <w:bCs/>
          <w:sz w:val="20"/>
        </w:rPr>
        <w:t xml:space="preserve">di </w:t>
      </w:r>
      <w:r w:rsidRPr="006B731A">
        <w:rPr>
          <w:b/>
          <w:sz w:val="20"/>
        </w:rPr>
        <w:t xml:space="preserve">approvare </w:t>
      </w:r>
      <w:r w:rsidRPr="006B731A">
        <w:rPr>
          <w:sz w:val="20"/>
        </w:rPr>
        <w:t>l’accordo tra Ater di Venezia e Comune di Spinea che si allega al presente provvedimento con le modifiche di cui alle premesse;</w:t>
      </w:r>
    </w:p>
    <w:p w:rsidR="006B731A" w:rsidRPr="006B731A" w:rsidRDefault="006B731A" w:rsidP="006B731A">
      <w:pPr>
        <w:pStyle w:val="Normal965b23b7-d9f9-4ce8-93e3-a6b2ab6219a4"/>
        <w:numPr>
          <w:ilvl w:val="0"/>
          <w:numId w:val="1"/>
        </w:numPr>
        <w:tabs>
          <w:tab w:val="clear" w:pos="720"/>
        </w:tabs>
        <w:ind w:left="284" w:hanging="284"/>
        <w:jc w:val="both"/>
        <w:rPr>
          <w:sz w:val="20"/>
        </w:rPr>
      </w:pPr>
      <w:r w:rsidRPr="006B731A">
        <w:rPr>
          <w:b/>
          <w:bCs/>
          <w:sz w:val="20"/>
        </w:rPr>
        <w:t xml:space="preserve">di </w:t>
      </w:r>
      <w:r w:rsidRPr="006B731A">
        <w:rPr>
          <w:b/>
          <w:sz w:val="20"/>
        </w:rPr>
        <w:t>approvare</w:t>
      </w:r>
      <w:r w:rsidRPr="006B731A">
        <w:rPr>
          <w:sz w:val="20"/>
        </w:rPr>
        <w:t xml:space="preserve">, ai </w:t>
      </w:r>
      <w:r w:rsidRPr="006B731A">
        <w:rPr>
          <w:sz w:val="20"/>
          <w:szCs w:val="20"/>
        </w:rPr>
        <w:t>sensi</w:t>
      </w:r>
      <w:r w:rsidRPr="006B731A">
        <w:rPr>
          <w:sz w:val="20"/>
        </w:rPr>
        <w:t xml:space="preserve"> articolo 18, della legge regionale 23 aprile 2011, n. 11 “Norme per il governo del territorio” e </w:t>
      </w:r>
      <w:proofErr w:type="spellStart"/>
      <w:r w:rsidRPr="006B731A">
        <w:rPr>
          <w:sz w:val="20"/>
        </w:rPr>
        <w:t>succ</w:t>
      </w:r>
      <w:proofErr w:type="spellEnd"/>
      <w:r w:rsidRPr="006B731A">
        <w:rPr>
          <w:sz w:val="20"/>
        </w:rPr>
        <w:t xml:space="preserve">. </w:t>
      </w:r>
      <w:proofErr w:type="spellStart"/>
      <w:r w:rsidRPr="006B731A">
        <w:rPr>
          <w:sz w:val="20"/>
        </w:rPr>
        <w:t>mod</w:t>
      </w:r>
      <w:proofErr w:type="spellEnd"/>
      <w:r w:rsidRPr="006B731A">
        <w:rPr>
          <w:sz w:val="20"/>
        </w:rPr>
        <w:t xml:space="preserve">. e </w:t>
      </w:r>
      <w:proofErr w:type="spellStart"/>
      <w:r w:rsidRPr="006B731A">
        <w:rPr>
          <w:sz w:val="20"/>
        </w:rPr>
        <w:t>int</w:t>
      </w:r>
      <w:proofErr w:type="spellEnd"/>
      <w:r w:rsidRPr="006B731A">
        <w:rPr>
          <w:sz w:val="20"/>
        </w:rPr>
        <w:t>., la Variante n. 4 al Piano degli Interventi (ex PRG), consistente negli elaborati adottati con deliberazione consiliare n. 38 del 09/04/2014 con l’aggiunta dei seguenti atti (allegati alla presente):</w:t>
      </w:r>
    </w:p>
    <w:p w:rsidR="006B731A" w:rsidRPr="006B731A" w:rsidRDefault="006B731A" w:rsidP="006B731A">
      <w:pPr>
        <w:pStyle w:val="Normal965b23b7-d9f9-4ce8-93e3-a6b2ab6219a4"/>
        <w:numPr>
          <w:ilvl w:val="1"/>
          <w:numId w:val="7"/>
        </w:numPr>
        <w:ind w:left="567" w:hanging="283"/>
        <w:jc w:val="both"/>
        <w:rPr>
          <w:sz w:val="20"/>
          <w:szCs w:val="20"/>
        </w:rPr>
      </w:pPr>
      <w:r w:rsidRPr="006B731A">
        <w:rPr>
          <w:sz w:val="20"/>
          <w:szCs w:val="20"/>
        </w:rPr>
        <w:t>parere della Sezione Bacino Idrografico Litorale Veneto (ex Genio Civile), prot. 283081 del 02/07/2014(All.1);</w:t>
      </w:r>
    </w:p>
    <w:p w:rsidR="006B731A" w:rsidRPr="006B731A" w:rsidRDefault="006B731A" w:rsidP="006B731A">
      <w:pPr>
        <w:pStyle w:val="Normal965b23b7-d9f9-4ce8-93e3-a6b2ab6219a4"/>
        <w:numPr>
          <w:ilvl w:val="1"/>
          <w:numId w:val="7"/>
        </w:numPr>
        <w:ind w:left="567" w:hanging="283"/>
        <w:jc w:val="both"/>
        <w:rPr>
          <w:sz w:val="20"/>
          <w:szCs w:val="20"/>
        </w:rPr>
      </w:pPr>
      <w:r w:rsidRPr="006B731A">
        <w:rPr>
          <w:sz w:val="20"/>
          <w:szCs w:val="20"/>
        </w:rPr>
        <w:t>osservazioni da parte del Dipartimento Prevenzione dell’</w:t>
      </w:r>
      <w:proofErr w:type="spellStart"/>
      <w:r w:rsidRPr="006B731A">
        <w:rPr>
          <w:sz w:val="20"/>
          <w:szCs w:val="20"/>
        </w:rPr>
        <w:t>Ulss</w:t>
      </w:r>
      <w:proofErr w:type="spellEnd"/>
      <w:r w:rsidRPr="006B731A">
        <w:rPr>
          <w:sz w:val="20"/>
          <w:szCs w:val="20"/>
        </w:rPr>
        <w:t xml:space="preserve"> 13, Prot. n°  III.4 / 44442  I  EDU del 26/05/2014(All.2);</w:t>
      </w:r>
    </w:p>
    <w:p w:rsidR="006B731A" w:rsidRPr="006B731A" w:rsidRDefault="006B731A" w:rsidP="006B731A">
      <w:pPr>
        <w:pStyle w:val="Normal965b23b7-d9f9-4ce8-93e3-a6b2ab6219a4"/>
        <w:numPr>
          <w:ilvl w:val="1"/>
          <w:numId w:val="7"/>
        </w:numPr>
        <w:ind w:left="567" w:hanging="283"/>
        <w:jc w:val="both"/>
        <w:rPr>
          <w:sz w:val="20"/>
          <w:szCs w:val="20"/>
        </w:rPr>
      </w:pPr>
      <w:r w:rsidRPr="006B731A">
        <w:rPr>
          <w:sz w:val="20"/>
          <w:szCs w:val="20"/>
        </w:rPr>
        <w:t>considerazioni sulla Valutazione Ambientale Strategica del 18/06/2014 (All.3);</w:t>
      </w:r>
    </w:p>
    <w:p w:rsidR="006B731A" w:rsidRPr="006B731A" w:rsidRDefault="006B731A" w:rsidP="006B731A">
      <w:pPr>
        <w:pStyle w:val="Corpodeltesto1"/>
        <w:numPr>
          <w:ilvl w:val="0"/>
          <w:numId w:val="1"/>
        </w:numPr>
        <w:tabs>
          <w:tab w:val="clear" w:pos="720"/>
          <w:tab w:val="num" w:pos="284"/>
          <w:tab w:val="left" w:pos="851"/>
        </w:tabs>
        <w:spacing w:after="0"/>
        <w:ind w:left="284" w:hanging="284"/>
        <w:jc w:val="both"/>
        <w:rPr>
          <w:sz w:val="20"/>
          <w:szCs w:val="20"/>
        </w:rPr>
      </w:pPr>
      <w:r w:rsidRPr="006B731A">
        <w:rPr>
          <w:sz w:val="20"/>
          <w:szCs w:val="20"/>
        </w:rPr>
        <w:t xml:space="preserve">di </w:t>
      </w:r>
      <w:r w:rsidRPr="006B731A">
        <w:rPr>
          <w:b/>
          <w:sz w:val="20"/>
          <w:szCs w:val="20"/>
        </w:rPr>
        <w:t>trasmettere copia del presente provvedimento ad ATER</w:t>
      </w:r>
      <w:r w:rsidRPr="006B731A">
        <w:rPr>
          <w:sz w:val="20"/>
          <w:szCs w:val="20"/>
        </w:rPr>
        <w:t>;</w:t>
      </w:r>
    </w:p>
    <w:p w:rsidR="006B731A" w:rsidRPr="006B731A" w:rsidRDefault="006B731A" w:rsidP="006B731A">
      <w:pPr>
        <w:pStyle w:val="Normal965b23b7-d9f9-4ce8-93e3-a6b2ab6219a4"/>
        <w:numPr>
          <w:ilvl w:val="0"/>
          <w:numId w:val="1"/>
        </w:numPr>
        <w:tabs>
          <w:tab w:val="clear" w:pos="720"/>
          <w:tab w:val="num" w:pos="284"/>
        </w:tabs>
        <w:ind w:left="284" w:hanging="284"/>
        <w:jc w:val="both"/>
        <w:rPr>
          <w:sz w:val="20"/>
        </w:rPr>
      </w:pPr>
      <w:r w:rsidRPr="006B731A">
        <w:rPr>
          <w:b/>
          <w:bCs/>
          <w:sz w:val="20"/>
          <w:szCs w:val="20"/>
        </w:rPr>
        <w:t>di precisare</w:t>
      </w:r>
      <w:r w:rsidRPr="006B731A">
        <w:rPr>
          <w:sz w:val="20"/>
          <w:szCs w:val="20"/>
        </w:rPr>
        <w:t xml:space="preserve"> che l</w:t>
      </w:r>
      <w:r w:rsidRPr="006B731A">
        <w:rPr>
          <w:sz w:val="20"/>
        </w:rPr>
        <w:t xml:space="preserve">a variante approvata acquisterà efficacia trascorsi </w:t>
      </w:r>
      <w:r w:rsidRPr="006B731A">
        <w:rPr>
          <w:b/>
          <w:bCs/>
          <w:sz w:val="20"/>
        </w:rPr>
        <w:t xml:space="preserve">15 (quindici) </w:t>
      </w:r>
      <w:r w:rsidRPr="006B731A">
        <w:rPr>
          <w:sz w:val="20"/>
        </w:rPr>
        <w:t>giorni dalla pubblicazione nell’albo pretorio;</w:t>
      </w:r>
    </w:p>
    <w:p w:rsidR="006B731A" w:rsidRPr="006B731A" w:rsidRDefault="006B731A" w:rsidP="006B731A">
      <w:pPr>
        <w:pStyle w:val="Nessunelenco1"/>
        <w:numPr>
          <w:ilvl w:val="0"/>
          <w:numId w:val="1"/>
        </w:numPr>
        <w:tabs>
          <w:tab w:val="clear" w:pos="720"/>
          <w:tab w:val="num" w:pos="284"/>
        </w:tabs>
        <w:ind w:left="284" w:hanging="284"/>
        <w:jc w:val="both"/>
      </w:pPr>
      <w:r w:rsidRPr="006B731A">
        <w:rPr>
          <w:b/>
          <w:bCs/>
        </w:rPr>
        <w:t xml:space="preserve">di </w:t>
      </w:r>
      <w:r w:rsidRPr="006B731A">
        <w:rPr>
          <w:b/>
        </w:rPr>
        <w:t>dare mandato al settore urbanistica e edilizia affinché provveda a tutti gli atti conseguenti</w:t>
      </w:r>
      <w:r w:rsidRPr="006B731A">
        <w:t>, in particolare all’aggiornamento degli elaborati del Piano degli Interventi e alla trasmissione del Piano approvato alla Provincia di Venezia.</w:t>
      </w:r>
    </w:p>
    <w:p w:rsidR="006B731A" w:rsidRPr="006B731A" w:rsidRDefault="006B731A" w:rsidP="006B731A">
      <w:pPr>
        <w:jc w:val="both"/>
        <w:rPr>
          <w:rFonts w:ascii="Times New Roman" w:hAnsi="Times New Roman"/>
        </w:rPr>
      </w:pPr>
      <w:r w:rsidRPr="006B731A">
        <w:rPr>
          <w:rFonts w:ascii="Times New Roman" w:hAnsi="Times New Roman"/>
        </w:rPr>
        <w:t>Con successiva separata votazione, effettuata a scrutinio palese, con il seguente esito:</w:t>
      </w:r>
    </w:p>
    <w:p w:rsidR="006B731A" w:rsidRPr="006B731A" w:rsidRDefault="006B731A" w:rsidP="006B731A">
      <w:pPr>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1648"/>
        <w:gridCol w:w="1644"/>
        <w:gridCol w:w="1622"/>
        <w:gridCol w:w="1639"/>
        <w:gridCol w:w="1624"/>
      </w:tblGrid>
      <w:tr w:rsidR="006B731A" w:rsidRPr="006B731A" w:rsidTr="009F3C13">
        <w:tc>
          <w:tcPr>
            <w:tcW w:w="1685" w:type="dxa"/>
          </w:tcPr>
          <w:p w:rsidR="006B731A" w:rsidRPr="006B731A" w:rsidRDefault="006B731A" w:rsidP="009F3C13">
            <w:pPr>
              <w:jc w:val="both"/>
              <w:rPr>
                <w:rFonts w:ascii="Times New Roman" w:hAnsi="Times New Roman"/>
              </w:rPr>
            </w:pPr>
            <w:r w:rsidRPr="006B731A">
              <w:rPr>
                <w:rFonts w:ascii="Times New Roman" w:hAnsi="Times New Roman"/>
              </w:rPr>
              <w:t>PRESENTI</w:t>
            </w:r>
          </w:p>
        </w:tc>
        <w:bookmarkStart w:id="7" w:name="IEPresenti"/>
        <w:tc>
          <w:tcPr>
            <w:tcW w:w="1685" w:type="dxa"/>
          </w:tcPr>
          <w:p w:rsidR="006B731A" w:rsidRPr="006B731A" w:rsidRDefault="006B731A" w:rsidP="009F3C13">
            <w:pPr>
              <w:jc w:val="both"/>
              <w:rPr>
                <w:rFonts w:ascii="Times New Roman" w:hAnsi="Times New Roman"/>
              </w:rPr>
            </w:pPr>
            <w:r w:rsidRPr="006B731A">
              <w:rPr>
                <w:rFonts w:ascii="Times New Roman" w:hAnsi="Times New Roman"/>
              </w:rPr>
              <w:fldChar w:fldCharType="begin">
                <w:ffData>
                  <w:name w:val="IEPresenti"/>
                  <w:enabled/>
                  <w:calcOnExit w:val="0"/>
                  <w:textInput>
                    <w:default w:val="IEPresenti"/>
                  </w:textInput>
                </w:ffData>
              </w:fldChar>
            </w:r>
            <w:r w:rsidRPr="006B731A">
              <w:rPr>
                <w:rFonts w:ascii="Times New Roman" w:hAnsi="Times New Roman"/>
              </w:rPr>
              <w:instrText xml:space="preserve"> FORMTEXT </w:instrText>
            </w:r>
            <w:r w:rsidRPr="006B731A">
              <w:rPr>
                <w:rFonts w:ascii="Times New Roman" w:hAnsi="Times New Roman"/>
              </w:rPr>
            </w:r>
            <w:r w:rsidRPr="006B731A">
              <w:rPr>
                <w:rFonts w:ascii="Times New Roman" w:hAnsi="Times New Roman"/>
              </w:rPr>
              <w:fldChar w:fldCharType="separate"/>
            </w:r>
            <w:r w:rsidRPr="006B731A">
              <w:rPr>
                <w:rFonts w:ascii="Times New Roman" w:hAnsi="Times New Roman"/>
                <w:noProof/>
              </w:rPr>
              <w:t>IEPresenti</w:t>
            </w:r>
            <w:r w:rsidRPr="006B731A">
              <w:rPr>
                <w:rFonts w:ascii="Times New Roman" w:hAnsi="Times New Roman"/>
              </w:rPr>
              <w:fldChar w:fldCharType="end"/>
            </w:r>
            <w:bookmarkEnd w:id="7"/>
          </w:p>
        </w:tc>
        <w:tc>
          <w:tcPr>
            <w:tcW w:w="1685" w:type="dxa"/>
          </w:tcPr>
          <w:p w:rsidR="006B731A" w:rsidRPr="006B731A" w:rsidRDefault="006B731A" w:rsidP="009F3C13">
            <w:pPr>
              <w:jc w:val="both"/>
              <w:rPr>
                <w:rFonts w:ascii="Times New Roman" w:hAnsi="Times New Roman"/>
              </w:rPr>
            </w:pPr>
            <w:r w:rsidRPr="006B731A">
              <w:rPr>
                <w:rFonts w:ascii="Times New Roman" w:hAnsi="Times New Roman"/>
              </w:rPr>
              <w:t>ASSENTI</w:t>
            </w:r>
          </w:p>
        </w:tc>
        <w:bookmarkStart w:id="8" w:name="IEAssenti"/>
        <w:tc>
          <w:tcPr>
            <w:tcW w:w="1685" w:type="dxa"/>
          </w:tcPr>
          <w:p w:rsidR="006B731A" w:rsidRPr="006B731A" w:rsidRDefault="006B731A" w:rsidP="009F3C13">
            <w:pPr>
              <w:jc w:val="both"/>
              <w:rPr>
                <w:rFonts w:ascii="Times New Roman" w:hAnsi="Times New Roman"/>
              </w:rPr>
            </w:pPr>
            <w:r w:rsidRPr="006B731A">
              <w:rPr>
                <w:rFonts w:ascii="Times New Roman" w:hAnsi="Times New Roman"/>
              </w:rPr>
              <w:fldChar w:fldCharType="begin">
                <w:ffData>
                  <w:name w:val="IEAssenti"/>
                  <w:enabled/>
                  <w:calcOnExit w:val="0"/>
                  <w:textInput>
                    <w:default w:val="IEAssenti"/>
                  </w:textInput>
                </w:ffData>
              </w:fldChar>
            </w:r>
            <w:r w:rsidRPr="006B731A">
              <w:rPr>
                <w:rFonts w:ascii="Times New Roman" w:hAnsi="Times New Roman"/>
              </w:rPr>
              <w:instrText xml:space="preserve"> FORMTEXT </w:instrText>
            </w:r>
            <w:r w:rsidRPr="006B731A">
              <w:rPr>
                <w:rFonts w:ascii="Times New Roman" w:hAnsi="Times New Roman"/>
              </w:rPr>
            </w:r>
            <w:r w:rsidRPr="006B731A">
              <w:rPr>
                <w:rFonts w:ascii="Times New Roman" w:hAnsi="Times New Roman"/>
              </w:rPr>
              <w:fldChar w:fldCharType="separate"/>
            </w:r>
            <w:r w:rsidRPr="006B731A">
              <w:rPr>
                <w:rFonts w:ascii="Times New Roman" w:hAnsi="Times New Roman"/>
                <w:noProof/>
              </w:rPr>
              <w:t>IEAssenti</w:t>
            </w:r>
            <w:r w:rsidRPr="006B731A">
              <w:rPr>
                <w:rFonts w:ascii="Times New Roman" w:hAnsi="Times New Roman"/>
              </w:rPr>
              <w:fldChar w:fldCharType="end"/>
            </w:r>
            <w:bookmarkEnd w:id="8"/>
          </w:p>
        </w:tc>
        <w:tc>
          <w:tcPr>
            <w:tcW w:w="1686" w:type="dxa"/>
          </w:tcPr>
          <w:p w:rsidR="006B731A" w:rsidRPr="006B731A" w:rsidRDefault="006B731A" w:rsidP="009F3C13">
            <w:pPr>
              <w:jc w:val="both"/>
              <w:rPr>
                <w:rFonts w:ascii="Times New Roman" w:hAnsi="Times New Roman"/>
              </w:rPr>
            </w:pPr>
            <w:r w:rsidRPr="006B731A">
              <w:rPr>
                <w:rFonts w:ascii="Times New Roman" w:hAnsi="Times New Roman"/>
              </w:rPr>
              <w:t>VOTANTI</w:t>
            </w:r>
          </w:p>
        </w:tc>
        <w:bookmarkStart w:id="9" w:name="IEVotanti"/>
        <w:tc>
          <w:tcPr>
            <w:tcW w:w="1686" w:type="dxa"/>
          </w:tcPr>
          <w:p w:rsidR="006B731A" w:rsidRPr="006B731A" w:rsidRDefault="006B731A" w:rsidP="009F3C13">
            <w:pPr>
              <w:jc w:val="both"/>
              <w:rPr>
                <w:rFonts w:ascii="Times New Roman" w:hAnsi="Times New Roman"/>
              </w:rPr>
            </w:pPr>
            <w:r w:rsidRPr="006B731A">
              <w:rPr>
                <w:rFonts w:ascii="Times New Roman" w:hAnsi="Times New Roman"/>
              </w:rPr>
              <w:fldChar w:fldCharType="begin">
                <w:ffData>
                  <w:name w:val="IEVotanti"/>
                  <w:enabled/>
                  <w:calcOnExit w:val="0"/>
                  <w:textInput>
                    <w:default w:val="IEVotanti"/>
                  </w:textInput>
                </w:ffData>
              </w:fldChar>
            </w:r>
            <w:r w:rsidRPr="006B731A">
              <w:rPr>
                <w:rFonts w:ascii="Times New Roman" w:hAnsi="Times New Roman"/>
              </w:rPr>
              <w:instrText xml:space="preserve"> FORMTEXT </w:instrText>
            </w:r>
            <w:r w:rsidRPr="006B731A">
              <w:rPr>
                <w:rFonts w:ascii="Times New Roman" w:hAnsi="Times New Roman"/>
              </w:rPr>
            </w:r>
            <w:r w:rsidRPr="006B731A">
              <w:rPr>
                <w:rFonts w:ascii="Times New Roman" w:hAnsi="Times New Roman"/>
              </w:rPr>
              <w:fldChar w:fldCharType="separate"/>
            </w:r>
            <w:r w:rsidRPr="006B731A">
              <w:rPr>
                <w:rFonts w:ascii="Times New Roman" w:hAnsi="Times New Roman"/>
                <w:noProof/>
              </w:rPr>
              <w:t>IEVotanti</w:t>
            </w:r>
            <w:r w:rsidRPr="006B731A">
              <w:rPr>
                <w:rFonts w:ascii="Times New Roman" w:hAnsi="Times New Roman"/>
              </w:rPr>
              <w:fldChar w:fldCharType="end"/>
            </w:r>
            <w:bookmarkEnd w:id="9"/>
          </w:p>
        </w:tc>
      </w:tr>
      <w:tr w:rsidR="006B731A" w:rsidRPr="006B731A" w:rsidTr="009F3C13">
        <w:tc>
          <w:tcPr>
            <w:tcW w:w="1685" w:type="dxa"/>
          </w:tcPr>
          <w:p w:rsidR="006B731A" w:rsidRPr="006B731A" w:rsidRDefault="006B731A" w:rsidP="009F3C13">
            <w:pPr>
              <w:jc w:val="both"/>
              <w:rPr>
                <w:rFonts w:ascii="Times New Roman" w:hAnsi="Times New Roman"/>
              </w:rPr>
            </w:pPr>
            <w:r w:rsidRPr="006B731A">
              <w:rPr>
                <w:rFonts w:ascii="Times New Roman" w:hAnsi="Times New Roman"/>
              </w:rPr>
              <w:t>FAVOREVOLI</w:t>
            </w:r>
          </w:p>
        </w:tc>
        <w:bookmarkStart w:id="10" w:name="IEFavorevoli"/>
        <w:tc>
          <w:tcPr>
            <w:tcW w:w="1685" w:type="dxa"/>
          </w:tcPr>
          <w:p w:rsidR="006B731A" w:rsidRPr="006B731A" w:rsidRDefault="006B731A" w:rsidP="009F3C13">
            <w:pPr>
              <w:jc w:val="both"/>
              <w:rPr>
                <w:rFonts w:ascii="Times New Roman" w:hAnsi="Times New Roman"/>
              </w:rPr>
            </w:pPr>
            <w:r w:rsidRPr="006B731A">
              <w:rPr>
                <w:rFonts w:ascii="Times New Roman" w:hAnsi="Times New Roman"/>
              </w:rPr>
              <w:fldChar w:fldCharType="begin">
                <w:ffData>
                  <w:name w:val="IEFavorevoli"/>
                  <w:enabled/>
                  <w:calcOnExit w:val="0"/>
                  <w:textInput>
                    <w:default w:val="IEFavorevoli"/>
                  </w:textInput>
                </w:ffData>
              </w:fldChar>
            </w:r>
            <w:r w:rsidRPr="006B731A">
              <w:rPr>
                <w:rFonts w:ascii="Times New Roman" w:hAnsi="Times New Roman"/>
              </w:rPr>
              <w:instrText xml:space="preserve"> FORMTEXT </w:instrText>
            </w:r>
            <w:r w:rsidRPr="006B731A">
              <w:rPr>
                <w:rFonts w:ascii="Times New Roman" w:hAnsi="Times New Roman"/>
              </w:rPr>
            </w:r>
            <w:r w:rsidRPr="006B731A">
              <w:rPr>
                <w:rFonts w:ascii="Times New Roman" w:hAnsi="Times New Roman"/>
              </w:rPr>
              <w:fldChar w:fldCharType="separate"/>
            </w:r>
            <w:r w:rsidRPr="006B731A">
              <w:rPr>
                <w:rFonts w:ascii="Times New Roman" w:hAnsi="Times New Roman"/>
                <w:noProof/>
              </w:rPr>
              <w:t>IEFavorevoli</w:t>
            </w:r>
            <w:r w:rsidRPr="006B731A">
              <w:rPr>
                <w:rFonts w:ascii="Times New Roman" w:hAnsi="Times New Roman"/>
              </w:rPr>
              <w:fldChar w:fldCharType="end"/>
            </w:r>
            <w:bookmarkEnd w:id="10"/>
          </w:p>
        </w:tc>
        <w:tc>
          <w:tcPr>
            <w:tcW w:w="1685" w:type="dxa"/>
          </w:tcPr>
          <w:p w:rsidR="006B731A" w:rsidRPr="006B731A" w:rsidRDefault="006B731A" w:rsidP="009F3C13">
            <w:pPr>
              <w:jc w:val="both"/>
              <w:rPr>
                <w:rFonts w:ascii="Times New Roman" w:hAnsi="Times New Roman"/>
              </w:rPr>
            </w:pPr>
            <w:r w:rsidRPr="006B731A">
              <w:rPr>
                <w:rFonts w:ascii="Times New Roman" w:hAnsi="Times New Roman"/>
              </w:rPr>
              <w:t>CONTRARI</w:t>
            </w:r>
          </w:p>
        </w:tc>
        <w:bookmarkStart w:id="11" w:name="IEContrari"/>
        <w:tc>
          <w:tcPr>
            <w:tcW w:w="1685" w:type="dxa"/>
          </w:tcPr>
          <w:p w:rsidR="006B731A" w:rsidRPr="006B731A" w:rsidRDefault="006B731A" w:rsidP="009F3C13">
            <w:pPr>
              <w:jc w:val="both"/>
              <w:rPr>
                <w:rFonts w:ascii="Times New Roman" w:hAnsi="Times New Roman"/>
              </w:rPr>
            </w:pPr>
            <w:r w:rsidRPr="006B731A">
              <w:rPr>
                <w:rFonts w:ascii="Times New Roman" w:hAnsi="Times New Roman"/>
              </w:rPr>
              <w:fldChar w:fldCharType="begin">
                <w:ffData>
                  <w:name w:val="IEContrari"/>
                  <w:enabled/>
                  <w:calcOnExit w:val="0"/>
                  <w:textInput>
                    <w:default w:val="IEContrari"/>
                  </w:textInput>
                </w:ffData>
              </w:fldChar>
            </w:r>
            <w:r w:rsidRPr="006B731A">
              <w:rPr>
                <w:rFonts w:ascii="Times New Roman" w:hAnsi="Times New Roman"/>
              </w:rPr>
              <w:instrText xml:space="preserve"> FORMTEXT </w:instrText>
            </w:r>
            <w:r w:rsidRPr="006B731A">
              <w:rPr>
                <w:rFonts w:ascii="Times New Roman" w:hAnsi="Times New Roman"/>
              </w:rPr>
            </w:r>
            <w:r w:rsidRPr="006B731A">
              <w:rPr>
                <w:rFonts w:ascii="Times New Roman" w:hAnsi="Times New Roman"/>
              </w:rPr>
              <w:fldChar w:fldCharType="separate"/>
            </w:r>
            <w:r w:rsidRPr="006B731A">
              <w:rPr>
                <w:rFonts w:ascii="Times New Roman" w:hAnsi="Times New Roman"/>
                <w:noProof/>
              </w:rPr>
              <w:t>IEContrari</w:t>
            </w:r>
            <w:r w:rsidRPr="006B731A">
              <w:rPr>
                <w:rFonts w:ascii="Times New Roman" w:hAnsi="Times New Roman"/>
              </w:rPr>
              <w:fldChar w:fldCharType="end"/>
            </w:r>
            <w:bookmarkEnd w:id="11"/>
          </w:p>
        </w:tc>
        <w:tc>
          <w:tcPr>
            <w:tcW w:w="1686" w:type="dxa"/>
          </w:tcPr>
          <w:p w:rsidR="006B731A" w:rsidRPr="006B731A" w:rsidRDefault="006B731A" w:rsidP="009F3C13">
            <w:pPr>
              <w:jc w:val="both"/>
              <w:rPr>
                <w:rFonts w:ascii="Times New Roman" w:hAnsi="Times New Roman"/>
              </w:rPr>
            </w:pPr>
            <w:r w:rsidRPr="006B731A">
              <w:rPr>
                <w:rFonts w:ascii="Times New Roman" w:hAnsi="Times New Roman"/>
              </w:rPr>
              <w:t>ASTENUTI</w:t>
            </w:r>
          </w:p>
        </w:tc>
        <w:bookmarkStart w:id="12" w:name="IEAstenuti"/>
        <w:tc>
          <w:tcPr>
            <w:tcW w:w="1686" w:type="dxa"/>
          </w:tcPr>
          <w:p w:rsidR="006B731A" w:rsidRPr="006B731A" w:rsidRDefault="006B731A" w:rsidP="009F3C13">
            <w:pPr>
              <w:jc w:val="both"/>
              <w:rPr>
                <w:rFonts w:ascii="Times New Roman" w:hAnsi="Times New Roman"/>
              </w:rPr>
            </w:pPr>
            <w:r w:rsidRPr="006B731A">
              <w:rPr>
                <w:rFonts w:ascii="Times New Roman" w:hAnsi="Times New Roman"/>
              </w:rPr>
              <w:fldChar w:fldCharType="begin">
                <w:ffData>
                  <w:name w:val="IEAstenuti"/>
                  <w:enabled/>
                  <w:calcOnExit w:val="0"/>
                  <w:textInput>
                    <w:default w:val="IEAstenuti"/>
                  </w:textInput>
                </w:ffData>
              </w:fldChar>
            </w:r>
            <w:r w:rsidRPr="006B731A">
              <w:rPr>
                <w:rFonts w:ascii="Times New Roman" w:hAnsi="Times New Roman"/>
              </w:rPr>
              <w:instrText xml:space="preserve"> FORMTEXT </w:instrText>
            </w:r>
            <w:r w:rsidRPr="006B731A">
              <w:rPr>
                <w:rFonts w:ascii="Times New Roman" w:hAnsi="Times New Roman"/>
              </w:rPr>
            </w:r>
            <w:r w:rsidRPr="006B731A">
              <w:rPr>
                <w:rFonts w:ascii="Times New Roman" w:hAnsi="Times New Roman"/>
              </w:rPr>
              <w:fldChar w:fldCharType="separate"/>
            </w:r>
            <w:r w:rsidRPr="006B731A">
              <w:rPr>
                <w:rFonts w:ascii="Times New Roman" w:hAnsi="Times New Roman"/>
                <w:noProof/>
              </w:rPr>
              <w:t>IEAstenuti</w:t>
            </w:r>
            <w:r w:rsidRPr="006B731A">
              <w:rPr>
                <w:rFonts w:ascii="Times New Roman" w:hAnsi="Times New Roman"/>
              </w:rPr>
              <w:fldChar w:fldCharType="end"/>
            </w:r>
            <w:bookmarkEnd w:id="12"/>
          </w:p>
        </w:tc>
      </w:tr>
      <w:tr w:rsidR="006B731A" w:rsidRPr="006B731A" w:rsidTr="009F3C13">
        <w:tc>
          <w:tcPr>
            <w:tcW w:w="1685" w:type="dxa"/>
          </w:tcPr>
          <w:p w:rsidR="006B731A" w:rsidRPr="006B731A" w:rsidRDefault="006B731A" w:rsidP="009F3C13">
            <w:pPr>
              <w:jc w:val="both"/>
              <w:rPr>
                <w:rFonts w:ascii="Times New Roman" w:hAnsi="Times New Roman"/>
              </w:rPr>
            </w:pPr>
          </w:p>
        </w:tc>
        <w:tc>
          <w:tcPr>
            <w:tcW w:w="1685" w:type="dxa"/>
          </w:tcPr>
          <w:p w:rsidR="006B731A" w:rsidRPr="006B731A" w:rsidRDefault="006B731A" w:rsidP="009F3C13">
            <w:pPr>
              <w:jc w:val="both"/>
              <w:rPr>
                <w:rFonts w:ascii="Times New Roman" w:hAnsi="Times New Roman"/>
              </w:rPr>
            </w:pPr>
          </w:p>
        </w:tc>
        <w:tc>
          <w:tcPr>
            <w:tcW w:w="1685" w:type="dxa"/>
          </w:tcPr>
          <w:p w:rsidR="006B731A" w:rsidRPr="006B731A" w:rsidRDefault="006B731A" w:rsidP="009F3C13">
            <w:pPr>
              <w:jc w:val="both"/>
              <w:rPr>
                <w:rFonts w:ascii="Times New Roman" w:hAnsi="Times New Roman"/>
              </w:rPr>
            </w:pPr>
          </w:p>
        </w:tc>
        <w:tc>
          <w:tcPr>
            <w:tcW w:w="1685" w:type="dxa"/>
          </w:tcPr>
          <w:p w:rsidR="006B731A" w:rsidRPr="006B731A" w:rsidRDefault="006B731A" w:rsidP="009F3C13">
            <w:pPr>
              <w:jc w:val="both"/>
              <w:rPr>
                <w:rFonts w:ascii="Times New Roman" w:hAnsi="Times New Roman"/>
              </w:rPr>
            </w:pPr>
          </w:p>
        </w:tc>
        <w:tc>
          <w:tcPr>
            <w:tcW w:w="1686" w:type="dxa"/>
          </w:tcPr>
          <w:p w:rsidR="006B731A" w:rsidRPr="006B731A" w:rsidRDefault="006B731A" w:rsidP="009F3C13">
            <w:pPr>
              <w:jc w:val="both"/>
              <w:rPr>
                <w:rFonts w:ascii="Times New Roman" w:hAnsi="Times New Roman"/>
              </w:rPr>
            </w:pPr>
          </w:p>
        </w:tc>
        <w:tc>
          <w:tcPr>
            <w:tcW w:w="1686" w:type="dxa"/>
          </w:tcPr>
          <w:p w:rsidR="006B731A" w:rsidRPr="006B731A" w:rsidRDefault="006B731A" w:rsidP="009F3C13">
            <w:pPr>
              <w:jc w:val="both"/>
              <w:rPr>
                <w:rFonts w:ascii="Times New Roman" w:hAnsi="Times New Roman"/>
              </w:rPr>
            </w:pPr>
          </w:p>
        </w:tc>
      </w:tr>
    </w:tbl>
    <w:p w:rsidR="006B731A" w:rsidRPr="006B731A" w:rsidRDefault="006B731A" w:rsidP="006B731A">
      <w:pPr>
        <w:jc w:val="both"/>
        <w:rPr>
          <w:rFonts w:ascii="Times New Roman" w:hAnsi="Times New Roman"/>
        </w:rPr>
      </w:pPr>
    </w:p>
    <w:p w:rsidR="006B731A" w:rsidRPr="006B731A" w:rsidRDefault="006B731A" w:rsidP="006B731A">
      <w:pPr>
        <w:jc w:val="both"/>
        <w:rPr>
          <w:rFonts w:ascii="Times New Roman" w:hAnsi="Times New Roman"/>
        </w:rPr>
      </w:pPr>
    </w:p>
    <w:p w:rsidR="006B731A" w:rsidRPr="006B731A" w:rsidRDefault="006B731A" w:rsidP="006B731A">
      <w:pPr>
        <w:jc w:val="center"/>
        <w:rPr>
          <w:rFonts w:ascii="Times New Roman" w:hAnsi="Times New Roman"/>
          <w:b/>
          <w:caps/>
          <w:szCs w:val="28"/>
        </w:rPr>
      </w:pPr>
      <w:r w:rsidRPr="006B731A">
        <w:rPr>
          <w:rFonts w:ascii="Times New Roman" w:hAnsi="Times New Roman"/>
          <w:b/>
          <w:caps/>
          <w:szCs w:val="28"/>
        </w:rPr>
        <w:t>IL CONSIGLIO comunale</w:t>
      </w:r>
    </w:p>
    <w:p w:rsidR="006B731A" w:rsidRPr="006B731A" w:rsidRDefault="006B731A" w:rsidP="006B731A">
      <w:pPr>
        <w:pStyle w:val="Nessunelenco1"/>
        <w:jc w:val="both"/>
        <w:rPr>
          <w:b/>
        </w:rPr>
      </w:pPr>
    </w:p>
    <w:p w:rsidR="006B731A" w:rsidRPr="006B731A" w:rsidRDefault="006B731A" w:rsidP="006B731A">
      <w:pPr>
        <w:pStyle w:val="Nessunelenco1"/>
        <w:jc w:val="both"/>
      </w:pPr>
      <w:r w:rsidRPr="006B731A">
        <w:rPr>
          <w:b/>
        </w:rPr>
        <w:t xml:space="preserve">Ricordato </w:t>
      </w:r>
      <w:r w:rsidRPr="006B731A">
        <w:t>che si tratta di provvedimento di adeguamento del vigente strumento urbanistico caratterizzato da un procedimento amministrativo complesso già caratterizzato da importanti fasi di partecipazione, consultazione e presentazione delle osservazioni da parte della cittadinanza, si chiede l’immediata esecutività del presente provvedimento.</w:t>
      </w:r>
    </w:p>
    <w:p w:rsidR="006B731A" w:rsidRPr="006B731A" w:rsidRDefault="006B731A" w:rsidP="006B731A">
      <w:pPr>
        <w:rPr>
          <w:rFonts w:ascii="Times New Roman" w:hAnsi="Times New Roman"/>
        </w:rPr>
      </w:pPr>
    </w:p>
    <w:p w:rsidR="006B731A" w:rsidRPr="006B731A" w:rsidRDefault="006B731A" w:rsidP="006B731A">
      <w:pPr>
        <w:jc w:val="center"/>
        <w:rPr>
          <w:rFonts w:ascii="Times New Roman" w:hAnsi="Times New Roman"/>
          <w:b/>
          <w:caps/>
          <w:szCs w:val="28"/>
        </w:rPr>
      </w:pPr>
      <w:r w:rsidRPr="006B731A">
        <w:rPr>
          <w:rFonts w:ascii="Times New Roman" w:hAnsi="Times New Roman"/>
          <w:b/>
          <w:caps/>
          <w:szCs w:val="28"/>
        </w:rPr>
        <w:t>delibera</w:t>
      </w:r>
    </w:p>
    <w:p w:rsidR="006B731A" w:rsidRPr="006B731A" w:rsidRDefault="006B731A" w:rsidP="006B731A">
      <w:pPr>
        <w:jc w:val="both"/>
        <w:rPr>
          <w:rFonts w:ascii="Times New Roman" w:hAnsi="Times New Roman"/>
        </w:rPr>
      </w:pPr>
    </w:p>
    <w:p w:rsidR="006B731A" w:rsidRPr="006B731A" w:rsidRDefault="006B731A" w:rsidP="006B731A">
      <w:pPr>
        <w:jc w:val="both"/>
        <w:rPr>
          <w:rFonts w:ascii="Times New Roman" w:hAnsi="Times New Roman"/>
        </w:rPr>
      </w:pPr>
      <w:r w:rsidRPr="006B731A">
        <w:rPr>
          <w:rFonts w:ascii="Times New Roman" w:hAnsi="Times New Roman"/>
        </w:rPr>
        <w:t xml:space="preserve">di dichiarare la presente deliberazione immediatamente eseguibile, ai sensi dell’art. 134, comma 4, del D. </w:t>
      </w:r>
      <w:proofErr w:type="spellStart"/>
      <w:r w:rsidRPr="006B731A">
        <w:rPr>
          <w:rFonts w:ascii="Times New Roman" w:hAnsi="Times New Roman"/>
        </w:rPr>
        <w:t>Lgs</w:t>
      </w:r>
      <w:proofErr w:type="spellEnd"/>
      <w:r w:rsidRPr="006B731A">
        <w:rPr>
          <w:rFonts w:ascii="Times New Roman" w:hAnsi="Times New Roman"/>
        </w:rPr>
        <w:t>. 267/2000.</w:t>
      </w:r>
    </w:p>
    <w:p w:rsidR="006B731A" w:rsidRPr="006B731A" w:rsidRDefault="006B731A" w:rsidP="006B731A">
      <w:pPr>
        <w:jc w:val="both"/>
        <w:rPr>
          <w:rFonts w:ascii="Times New Roman" w:hAnsi="Times New Roman"/>
        </w:rPr>
      </w:pPr>
    </w:p>
    <w:p w:rsidR="00665F0D" w:rsidRPr="006B731A" w:rsidRDefault="00665F0D" w:rsidP="006B731A">
      <w:pPr>
        <w:rPr>
          <w:rFonts w:ascii="Times New Roman" w:hAnsi="Times New Roman"/>
        </w:rPr>
      </w:pPr>
    </w:p>
    <w:sectPr w:rsidR="00665F0D" w:rsidRPr="006B731A" w:rsidSect="00922650">
      <w:headerReference w:type="even" r:id="rId7"/>
      <w:headerReference w:type="default" r:id="rId8"/>
      <w:footerReference w:type="even" r:id="rId9"/>
      <w:footerReference w:type="default" r:id="rId10"/>
      <w:headerReference w:type="first" r:id="rId11"/>
      <w:footerReference w:type="first" r:id="rId12"/>
      <w:pgSz w:w="11907" w:h="16839" w:code="9"/>
      <w:pgMar w:top="1417" w:right="1134" w:bottom="1134" w:left="1134"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650" w:rsidRDefault="006B731A">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650" w:rsidRDefault="006B731A">
    <w:pPr>
      <w:pStyle w:val="Pidipagina"/>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650" w:rsidRDefault="006B731A">
    <w:pPr>
      <w:pStyle w:val="Pidipagina"/>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650" w:rsidRDefault="006B731A">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650" w:rsidRDefault="006B731A">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650" w:rsidRDefault="006B731A">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525393"/>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BDC7C9B"/>
    <w:multiLevelType w:val="hybridMultilevel"/>
    <w:tmpl w:val="3B3C007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2A303FA2"/>
    <w:multiLevelType w:val="hybridMultilevel"/>
    <w:tmpl w:val="E000F9F4"/>
    <w:lvl w:ilvl="0" w:tplc="B85055BE">
      <w:numFmt w:val="bullet"/>
      <w:lvlText w:val="-"/>
      <w:lvlJc w:val="left"/>
      <w:pPr>
        <w:ind w:left="1004" w:hanging="360"/>
      </w:pPr>
      <w:rPr>
        <w:rFonts w:ascii="Times New Roman" w:eastAsia="Times New Roman" w:hAnsi="Times New Roman" w:cs="Times New Roman" w:hint="default"/>
        <w:b/>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
    <w:nsid w:val="44E309F4"/>
    <w:multiLevelType w:val="hybridMultilevel"/>
    <w:tmpl w:val="B422FB72"/>
    <w:lvl w:ilvl="0" w:tplc="B85055BE">
      <w:numFmt w:val="bullet"/>
      <w:lvlText w:val="-"/>
      <w:lvlJc w:val="left"/>
      <w:pPr>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F791150"/>
    <w:multiLevelType w:val="hybridMultilevel"/>
    <w:tmpl w:val="20A009D0"/>
    <w:lvl w:ilvl="0" w:tplc="4B64C4A2">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5">
    <w:nsid w:val="66866C8B"/>
    <w:multiLevelType w:val="singleLevel"/>
    <w:tmpl w:val="99799374"/>
    <w:lvl w:ilvl="0">
      <w:start w:val="1"/>
      <w:numFmt w:val="decimal"/>
      <w:lvlText w:val="%1."/>
      <w:lvlJc w:val="left"/>
      <w:pPr>
        <w:tabs>
          <w:tab w:val="num" w:pos="720"/>
        </w:tabs>
        <w:ind w:left="720" w:hanging="360"/>
      </w:pPr>
    </w:lvl>
  </w:abstractNum>
  <w:abstractNum w:abstractNumId="6">
    <w:nsid w:val="72D367ED"/>
    <w:multiLevelType w:val="hybridMultilevel"/>
    <w:tmpl w:val="CA4A255A"/>
    <w:lvl w:ilvl="0" w:tplc="A128EDFE">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abstractNumId w:val="5"/>
    <w:lvlOverride w:ilvl="0">
      <w:startOverride w:val="1"/>
    </w:lvlOverride>
  </w:num>
  <w:num w:numId="2">
    <w:abstractNumId w:val="1"/>
  </w:num>
  <w:num w:numId="3">
    <w:abstractNumId w:val="3"/>
  </w:num>
  <w:num w:numId="4">
    <w:abstractNumId w:val="6"/>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oNotTrackMoves/>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55D9"/>
    <w:rsid w:val="00082525"/>
    <w:rsid w:val="002A13A2"/>
    <w:rsid w:val="003355D9"/>
    <w:rsid w:val="00415A29"/>
    <w:rsid w:val="00665F0D"/>
    <w:rsid w:val="006B731A"/>
    <w:rsid w:val="006D57CA"/>
    <w:rsid w:val="00824179"/>
    <w:rsid w:val="00C051EA"/>
    <w:rsid w:val="00C80727"/>
    <w:rsid w:val="00D6421C"/>
    <w:rsid w:val="00D67A4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335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ssunelenco1">
    <w:name w:val="Nessun elenco1"/>
    <w:semiHidden/>
    <w:rsid w:val="003355D9"/>
    <w:rPr>
      <w:rFonts w:ascii="Times New Roman" w:eastAsia="Times New Roman" w:hAnsi="Times New Roman"/>
    </w:rPr>
  </w:style>
  <w:style w:type="paragraph" w:customStyle="1" w:styleId="Normal965b23b7-d9f9-4ce8-93e3-a6b2ab6219a4">
    <w:name w:val="Normal_965b23b7-d9f9-4ce8-93e3-a6b2ab6219a4"/>
    <w:next w:val="Normale"/>
    <w:qFormat/>
    <w:rsid w:val="003355D9"/>
    <w:rPr>
      <w:rFonts w:ascii="Times New Roman" w:eastAsia="Times New Roman" w:hAnsi="Times New Roman"/>
      <w:sz w:val="24"/>
      <w:szCs w:val="24"/>
    </w:rPr>
  </w:style>
  <w:style w:type="paragraph" w:customStyle="1" w:styleId="Stile1">
    <w:name w:val="Stile1"/>
    <w:basedOn w:val="Normal965b23b7-d9f9-4ce8-93e3-a6b2ab6219a4"/>
    <w:rsid w:val="003355D9"/>
    <w:pPr>
      <w:spacing w:before="100" w:beforeAutospacing="1" w:after="100" w:afterAutospacing="1"/>
    </w:pPr>
  </w:style>
  <w:style w:type="paragraph" w:customStyle="1" w:styleId="Corpotesto1">
    <w:name w:val="Corpo testo1"/>
    <w:basedOn w:val="Normale"/>
    <w:semiHidden/>
    <w:rsid w:val="003355D9"/>
    <w:pPr>
      <w:spacing w:after="0" w:line="240" w:lineRule="auto"/>
      <w:jc w:val="both"/>
    </w:pPr>
    <w:rPr>
      <w:rFonts w:ascii="Times New Roman" w:eastAsia="Times New Roman" w:hAnsi="Times New Roman"/>
      <w:sz w:val="20"/>
      <w:szCs w:val="20"/>
      <w:lang w:eastAsia="it-IT"/>
    </w:rPr>
  </w:style>
  <w:style w:type="paragraph" w:customStyle="1" w:styleId="Corpodeltesto1">
    <w:name w:val="Corpo del testo1"/>
    <w:basedOn w:val="Normale"/>
    <w:semiHidden/>
    <w:rsid w:val="003355D9"/>
    <w:pPr>
      <w:spacing w:after="120" w:line="240" w:lineRule="auto"/>
    </w:pPr>
    <w:rPr>
      <w:rFonts w:ascii="Times New Roman" w:eastAsia="Times New Roman" w:hAnsi="Times New Roman"/>
      <w:sz w:val="24"/>
      <w:szCs w:val="24"/>
    </w:rPr>
  </w:style>
  <w:style w:type="paragraph" w:styleId="Intestazione">
    <w:name w:val="header"/>
    <w:basedOn w:val="Normale"/>
    <w:link w:val="IntestazioneCarattere"/>
    <w:semiHidden/>
    <w:rsid w:val="006B731A"/>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IntestazioneCarattere">
    <w:name w:val="Intestazione Carattere"/>
    <w:basedOn w:val="Carpredefinitoparagrafo"/>
    <w:link w:val="Intestazione"/>
    <w:semiHidden/>
    <w:rsid w:val="006B731A"/>
    <w:rPr>
      <w:rFonts w:ascii="Times New Roman" w:eastAsia="Times New Roman" w:hAnsi="Times New Roman"/>
      <w:sz w:val="24"/>
      <w:szCs w:val="24"/>
    </w:rPr>
  </w:style>
  <w:style w:type="paragraph" w:styleId="Pidipagina">
    <w:name w:val="footer"/>
    <w:basedOn w:val="Normale"/>
    <w:link w:val="PidipaginaCarattere"/>
    <w:semiHidden/>
    <w:rsid w:val="006B731A"/>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PidipaginaCarattere">
    <w:name w:val="Piè di pagina Carattere"/>
    <w:basedOn w:val="Carpredefinitoparagrafo"/>
    <w:link w:val="Pidipagina"/>
    <w:semiHidden/>
    <w:rsid w:val="006B731A"/>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kernel.go('bd',%7bmask:'main',opera:'05',id:'05AC00002796',key:'05AC00002796',%20callerTicket:%20'',%20userKey:%20'',_menu:'home',kind:''%7d)" TargetMode="Externa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4</Pages>
  <Words>2245</Words>
  <Characters>12801</Characters>
  <Application>Microsoft Office Word</Application>
  <DocSecurity>0</DocSecurity>
  <Lines>106</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Fabio Favaretto</dc:creator>
  <cp:lastModifiedBy>Fabio Favaretto</cp:lastModifiedBy>
  <cp:revision>10</cp:revision>
  <dcterms:created xsi:type="dcterms:W3CDTF">2014-10-03T07:09:00Z</dcterms:created>
  <dcterms:modified xsi:type="dcterms:W3CDTF">2014-10-03T08:21:00Z</dcterms:modified>
</cp:coreProperties>
</file>